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6B2EE"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帕那镇2024年法治政府建设工作开展</w:t>
      </w:r>
    </w:p>
    <w:p w14:paraId="49E691CE"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情况报告</w:t>
      </w:r>
    </w:p>
    <w:p w14:paraId="5AF21A88">
      <w:pPr>
        <w:pStyle w:val="5"/>
        <w:spacing w:beforeAutospacing="0" w:afterAutospacing="0" w:line="576" w:lineRule="exact"/>
        <w:jc w:val="center"/>
        <w:rPr>
          <w:rFonts w:ascii="方正小标宋简体" w:hAnsi="微软雅黑" w:eastAsia="方正小标宋简体" w:cs="微软雅黑"/>
          <w:color w:val="333333"/>
          <w:sz w:val="44"/>
          <w:szCs w:val="44"/>
        </w:rPr>
      </w:pPr>
    </w:p>
    <w:p w14:paraId="0226D601">
      <w:pPr>
        <w:pStyle w:val="5"/>
        <w:spacing w:beforeAutospacing="0" w:afterAutospacing="0" w:line="576" w:lineRule="exact"/>
        <w:ind w:firstLine="640" w:firstLineChars="200"/>
        <w:jc w:val="both"/>
        <w:rPr>
          <w:rFonts w:ascii="方正仿宋简体" w:eastAsia="方正仿宋简体" w:cstheme="minorBidi"/>
          <w:kern w:val="2"/>
          <w:sz w:val="32"/>
          <w:szCs w:val="32"/>
        </w:rPr>
      </w:pPr>
      <w:r>
        <w:rPr>
          <w:rFonts w:hint="eastAsia" w:ascii="方正仿宋简体" w:eastAsia="方正仿宋简体" w:cstheme="minorBidi"/>
          <w:kern w:val="2"/>
          <w:sz w:val="32"/>
          <w:szCs w:val="32"/>
        </w:rPr>
        <w:t>为全面贯彻落实党的二十大和二十届二中、三中全会精神和新时代党的治藏方略，贯彻落实</w:t>
      </w:r>
      <w:r>
        <w:rPr>
          <w:rFonts w:hint="eastAsia" w:ascii="方正仿宋简体" w:eastAsia="方正仿宋简体" w:cstheme="minorBidi"/>
          <w:kern w:val="2"/>
          <w:sz w:val="32"/>
          <w:szCs w:val="32"/>
          <w:lang w:val="en-US" w:eastAsia="zh-CN"/>
        </w:rPr>
        <w:t>党</w:t>
      </w:r>
      <w:r>
        <w:rPr>
          <w:rFonts w:hint="eastAsia" w:ascii="方正仿宋简体" w:eastAsia="方正仿宋简体" w:cstheme="minorBidi"/>
          <w:kern w:val="2"/>
          <w:sz w:val="32"/>
          <w:szCs w:val="32"/>
        </w:rPr>
        <w:t>中央、自治区</w:t>
      </w:r>
      <w:r>
        <w:rPr>
          <w:rFonts w:hint="eastAsia" w:ascii="方正仿宋简体" w:eastAsia="方正仿宋简体" w:cstheme="minorBidi"/>
          <w:kern w:val="2"/>
          <w:sz w:val="32"/>
          <w:szCs w:val="32"/>
          <w:lang w:val="en-US" w:eastAsia="zh-CN"/>
        </w:rPr>
        <w:t>党委</w:t>
      </w:r>
      <w:r>
        <w:rPr>
          <w:rFonts w:hint="eastAsia" w:ascii="方正仿宋简体" w:eastAsia="方正仿宋简体" w:cstheme="minorBidi"/>
          <w:kern w:val="2"/>
          <w:sz w:val="32"/>
          <w:szCs w:val="32"/>
        </w:rPr>
        <w:t>、那曲市</w:t>
      </w:r>
      <w:r>
        <w:rPr>
          <w:rFonts w:hint="eastAsia" w:ascii="方正仿宋简体" w:eastAsia="方正仿宋简体" w:cstheme="minorBidi"/>
          <w:kern w:val="2"/>
          <w:sz w:val="32"/>
          <w:szCs w:val="32"/>
          <w:lang w:val="en-US" w:eastAsia="zh-CN"/>
        </w:rPr>
        <w:t>委</w:t>
      </w:r>
      <w:r>
        <w:rPr>
          <w:rFonts w:hint="eastAsia" w:ascii="方正仿宋简体" w:eastAsia="方正仿宋简体" w:cstheme="minorBidi"/>
          <w:kern w:val="2"/>
          <w:sz w:val="32"/>
          <w:szCs w:val="32"/>
        </w:rPr>
        <w:t>、安多县</w:t>
      </w:r>
      <w:r>
        <w:rPr>
          <w:rFonts w:hint="eastAsia" w:ascii="方正仿宋简体" w:eastAsia="方正仿宋简体" w:cstheme="minorBidi"/>
          <w:kern w:val="2"/>
          <w:sz w:val="32"/>
          <w:szCs w:val="32"/>
          <w:lang w:val="en-US" w:eastAsia="zh-CN"/>
        </w:rPr>
        <w:t>委</w:t>
      </w:r>
      <w:r>
        <w:rPr>
          <w:rFonts w:hint="eastAsia" w:ascii="方正仿宋简体" w:eastAsia="方正仿宋简体" w:cstheme="minorBidi"/>
          <w:kern w:val="2"/>
          <w:sz w:val="32"/>
          <w:szCs w:val="32"/>
        </w:rPr>
        <w:t>关于法治政府建设的有关决策部署，扎实开展法治宣传教育，着力提升群众法律意识，推进法治社会建设。</w:t>
      </w:r>
      <w:r>
        <w:rPr>
          <w:rFonts w:ascii="Times New Roman" w:hAnsi="Times New Roman" w:eastAsia="方正仿宋简体"/>
          <w:kern w:val="2"/>
          <w:sz w:val="32"/>
          <w:szCs w:val="32"/>
        </w:rPr>
        <w:t>2024</w:t>
      </w:r>
      <w:r>
        <w:rPr>
          <w:rFonts w:hint="eastAsia" w:ascii="方正仿宋简体" w:eastAsia="方正仿宋简体" w:cstheme="minorBidi"/>
          <w:kern w:val="2"/>
          <w:sz w:val="32"/>
          <w:szCs w:val="32"/>
        </w:rPr>
        <w:t>年帕那镇按照推进依法行政，创建法治政府的总体目标，围绕中心，服务大局，狠抓落实，推进法治政府各项工作有序开展，不断提升基层治理法治水平。现将本年度法治政府建设工作开展情况报告如下：</w:t>
      </w:r>
    </w:p>
    <w:p w14:paraId="0AB7F12A">
      <w:pPr>
        <w:spacing w:line="576" w:lineRule="exact"/>
        <w:ind w:firstLine="640" w:firstLineChars="200"/>
        <w:rPr>
          <w:rFonts w:ascii="方正黑体简体" w:hAnsi="Times New Roman" w:eastAsia="方正黑体简体" w:cs="Times New Roman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sz w:val="32"/>
          <w:szCs w:val="32"/>
        </w:rPr>
        <w:t>一、工作开展情况</w:t>
      </w:r>
    </w:p>
    <w:p w14:paraId="6954E2A0">
      <w:pPr>
        <w:spacing w:line="576" w:lineRule="exact"/>
        <w:ind w:firstLine="640" w:firstLineChars="200"/>
        <w:rPr>
          <w:rFonts w:ascii="方正楷体简体" w:hAnsi="方正仿宋简体" w:eastAsia="方正楷体简体" w:cs="方正仿宋简体"/>
          <w:snapToGrid w:val="0"/>
          <w:color w:val="000000"/>
          <w:sz w:val="32"/>
          <w:szCs w:val="32"/>
        </w:rPr>
      </w:pPr>
      <w:r>
        <w:rPr>
          <w:rFonts w:hint="eastAsia" w:ascii="方正楷体简体" w:hAnsi="方正仿宋简体" w:eastAsia="方正楷体简体" w:cs="方正仿宋简体"/>
          <w:snapToGrid w:val="0"/>
          <w:color w:val="000000"/>
          <w:sz w:val="32"/>
          <w:szCs w:val="32"/>
        </w:rPr>
        <w:t>（一）强化组织领导，压实法治建设责任。</w:t>
      </w:r>
      <w:r>
        <w:rPr>
          <w:rFonts w:hint="eastAsia" w:ascii="方正仿宋简体" w:hAnsi="方正仿宋简体" w:eastAsia="方正仿宋简体" w:cs="方正仿宋简体"/>
          <w:snapToGrid w:val="0"/>
          <w:color w:val="000000"/>
          <w:sz w:val="32"/>
          <w:szCs w:val="32"/>
        </w:rPr>
        <w:t>成立以镇党委书记为组长、镇党委副书记、镇长为副组长的法治政府建设工作领导小组，牢固树立全镇法治工作“一盘棋”思想，紧紧围绕法治建设重点任务，形成了“党委政府统一领导，领导小组组织协调，科室齐抓共管，广大群众积极参与”的法治建设工作格局，制定《帕那镇</w:t>
      </w:r>
      <w:r>
        <w:rPr>
          <w:rFonts w:ascii="Times New Roman" w:hAnsi="Times New Roman" w:eastAsia="方正仿宋简体" w:cs="Times New Roman"/>
          <w:snapToGrid w:val="0"/>
          <w:color w:val="000000"/>
          <w:sz w:val="32"/>
          <w:szCs w:val="32"/>
        </w:rPr>
        <w:t>2024</w:t>
      </w:r>
      <w:r>
        <w:rPr>
          <w:rFonts w:hint="eastAsia" w:ascii="方正仿宋简体" w:hAnsi="方正仿宋简体" w:eastAsia="方正仿宋简体" w:cs="方正仿宋简体"/>
          <w:snapToGrid w:val="0"/>
          <w:color w:val="000000"/>
          <w:sz w:val="32"/>
          <w:szCs w:val="32"/>
        </w:rPr>
        <w:t>年法治政府建设工作计划》，将法治政府建设纳入到年度重点工作，与经济社会发展同部署、同推进、同落实。镇党委、政府定期召开专题会议，研究解决法治建设中的重大问题，全年共召开法治建设专题会议</w:t>
      </w:r>
      <w:r>
        <w:rPr>
          <w:rFonts w:hint="eastAsia" w:ascii="Times New Roman" w:hAnsi="Times New Roman" w:eastAsia="方正仿宋简体" w:cs="Times New Roman"/>
          <w:snapToGrid w:val="0"/>
          <w:color w:val="000000"/>
          <w:sz w:val="32"/>
          <w:szCs w:val="32"/>
        </w:rPr>
        <w:t>3</w:t>
      </w:r>
      <w:r>
        <w:rPr>
          <w:rFonts w:hint="eastAsia" w:ascii="方正仿宋简体" w:hAnsi="方正仿宋简体" w:eastAsia="方正仿宋简体" w:cs="方正仿宋简体"/>
          <w:snapToGrid w:val="0"/>
          <w:color w:val="000000"/>
          <w:sz w:val="32"/>
          <w:szCs w:val="32"/>
        </w:rPr>
        <w:t>次，确保法治建设工作有序推进。严格落实党政主要负责人履行推进法治建设第一责任人职责</w:t>
      </w:r>
      <w:r>
        <w:rPr>
          <w:rFonts w:hint="eastAsia" w:ascii="方正仿宋简体" w:hAnsi="方正仿宋简体" w:eastAsia="方正仿宋简体" w:cs="方正仿宋简体"/>
          <w:snapToGrid w:val="0"/>
          <w:color w:val="000000"/>
          <w:sz w:val="32"/>
          <w:szCs w:val="32"/>
          <w:lang w:val="en-US" w:eastAsia="zh-CN"/>
        </w:rPr>
        <w:t>由</w:t>
      </w:r>
      <w:r>
        <w:rPr>
          <w:rFonts w:hint="eastAsia" w:ascii="方正仿宋简体" w:hAnsi="方正仿宋简体" w:eastAsia="方正仿宋简体" w:cs="方正仿宋简体"/>
          <w:snapToGrid w:val="0"/>
          <w:color w:val="000000"/>
          <w:sz w:val="32"/>
          <w:szCs w:val="32"/>
        </w:rPr>
        <w:t>镇党委书记</w:t>
      </w:r>
      <w:r>
        <w:rPr>
          <w:rFonts w:hint="eastAsia" w:ascii="方正仿宋简体" w:hAnsi="方正仿宋简体" w:eastAsia="方正仿宋简体" w:cs="方正仿宋简体"/>
          <w:snapToGrid w:val="0"/>
          <w:color w:val="000000"/>
          <w:sz w:val="32"/>
          <w:szCs w:val="32"/>
          <w:lang w:val="en-US" w:eastAsia="zh-CN"/>
        </w:rPr>
        <w:t>和</w:t>
      </w:r>
      <w:r>
        <w:rPr>
          <w:rFonts w:hint="eastAsia" w:ascii="方正仿宋简体" w:hAnsi="方正仿宋简体" w:eastAsia="方正仿宋简体" w:cs="方正仿宋简体"/>
          <w:snapToGrid w:val="0"/>
          <w:color w:val="000000"/>
          <w:sz w:val="32"/>
          <w:szCs w:val="32"/>
        </w:rPr>
        <w:t>镇长带头学习法律法规，研究解决法治建设中的难点问题，确保法治政府建设各项任务落到实处。</w:t>
      </w:r>
    </w:p>
    <w:p w14:paraId="1C0CDB0D">
      <w:pPr>
        <w:spacing w:line="576" w:lineRule="exact"/>
        <w:ind w:firstLine="640" w:firstLineChars="200"/>
        <w:rPr>
          <w:rFonts w:ascii="方正楷体简体" w:hAnsi="方正仿宋简体" w:eastAsia="方正楷体简体" w:cs="方正仿宋简体"/>
          <w:snapToGrid w:val="0"/>
          <w:color w:val="000000"/>
          <w:sz w:val="32"/>
          <w:szCs w:val="32"/>
        </w:rPr>
      </w:pPr>
      <w:r>
        <w:rPr>
          <w:rFonts w:hint="eastAsia" w:ascii="方正楷体简体" w:hAnsi="方正仿宋简体" w:eastAsia="方正楷体简体" w:cs="方正仿宋简体"/>
          <w:snapToGrid w:val="0"/>
          <w:color w:val="000000"/>
          <w:sz w:val="32"/>
          <w:szCs w:val="32"/>
        </w:rPr>
        <w:t>（二）加强队伍建设，提升法治建设水平。</w:t>
      </w:r>
      <w:r>
        <w:rPr>
          <w:rFonts w:hint="eastAsia" w:ascii="方正仿宋简体" w:hAnsi="方正仿宋简体" w:eastAsia="方正仿宋简体" w:cs="方正仿宋简体"/>
          <w:snapToGrid w:val="0"/>
          <w:color w:val="000000"/>
          <w:sz w:val="32"/>
          <w:szCs w:val="32"/>
        </w:rPr>
        <w:t>将法治政府建设纳入到镇党委理论</w:t>
      </w:r>
      <w:r>
        <w:rPr>
          <w:rFonts w:hint="eastAsia" w:ascii="方正仿宋简体" w:hAnsi="方正仿宋简体" w:eastAsia="方正仿宋简体" w:cs="方正仿宋简体"/>
          <w:snapToGrid w:val="0"/>
          <w:color w:val="000000"/>
          <w:sz w:val="32"/>
          <w:szCs w:val="32"/>
          <w:lang w:val="en-US" w:eastAsia="zh-CN"/>
        </w:rPr>
        <w:t>学习</w:t>
      </w:r>
      <w:r>
        <w:rPr>
          <w:rFonts w:hint="eastAsia" w:ascii="方正仿宋简体" w:hAnsi="方正仿宋简体" w:eastAsia="方正仿宋简体" w:cs="方正仿宋简体"/>
          <w:snapToGrid w:val="0"/>
          <w:color w:val="000000"/>
          <w:sz w:val="32"/>
          <w:szCs w:val="32"/>
        </w:rPr>
        <w:t>中心组，通过系统化、常态化学习，认真领会贯彻</w:t>
      </w:r>
      <w:r>
        <w:rPr>
          <w:rFonts w:hint="eastAsia" w:ascii="方正仿宋简体" w:hAnsi="方正仿宋简体" w:eastAsia="方正仿宋简体" w:cs="方正仿宋简体"/>
          <w:snapToGrid w:val="0"/>
          <w:color w:val="000000"/>
          <w:sz w:val="32"/>
          <w:szCs w:val="32"/>
          <w:lang w:val="en-US" w:eastAsia="zh-CN"/>
        </w:rPr>
        <w:t>自治区党委</w:t>
      </w:r>
      <w:r>
        <w:rPr>
          <w:rFonts w:hint="eastAsia" w:ascii="方正仿宋简体" w:hAnsi="方正仿宋简体" w:eastAsia="方正仿宋简体" w:cs="方正仿宋简体"/>
          <w:snapToGrid w:val="0"/>
          <w:color w:val="000000"/>
          <w:sz w:val="32"/>
          <w:szCs w:val="32"/>
        </w:rPr>
        <w:t>、市</w:t>
      </w:r>
      <w:r>
        <w:rPr>
          <w:rFonts w:hint="eastAsia" w:ascii="方正仿宋简体" w:hAnsi="方正仿宋简体" w:eastAsia="方正仿宋简体" w:cs="方正仿宋简体"/>
          <w:snapToGrid w:val="0"/>
          <w:color w:val="000000"/>
          <w:sz w:val="32"/>
          <w:szCs w:val="32"/>
          <w:lang w:val="en-US" w:eastAsia="zh-CN"/>
        </w:rPr>
        <w:t>委</w:t>
      </w:r>
      <w:r>
        <w:rPr>
          <w:rFonts w:hint="eastAsia" w:ascii="方正仿宋简体" w:hAnsi="方正仿宋简体" w:eastAsia="方正仿宋简体" w:cs="方正仿宋简体"/>
          <w:snapToGrid w:val="0"/>
          <w:color w:val="000000"/>
          <w:sz w:val="32"/>
          <w:szCs w:val="32"/>
        </w:rPr>
        <w:t>、县委各项要求，通过专题研讨，案例剖析等形式深化理解，将法治政府建设的目标任务细化分解到具体工作环节，确保各项要求落地见效，为推进基层治理现代化提供坚实法治保障。通过建立“法律明白人带学、法律顾问导学、调解员践学”等培训方式，对辖区内村两委班子、驻村工作队、干部职工、网格员、联户长、群防群治队伍力量等组织每月</w:t>
      </w:r>
      <w:r>
        <w:rPr>
          <w:rFonts w:ascii="Times New Roman" w:hAnsi="Times New Roman" w:eastAsia="方正仿宋简体" w:cs="Times New Roman"/>
          <w:snapToGrid w:val="0"/>
          <w:color w:val="000000"/>
          <w:sz w:val="32"/>
          <w:szCs w:val="32"/>
        </w:rPr>
        <w:t>2</w:t>
      </w:r>
      <w:r>
        <w:rPr>
          <w:rFonts w:hint="eastAsia" w:ascii="方正仿宋简体" w:hAnsi="方正仿宋简体" w:eastAsia="方正仿宋简体" w:cs="方正仿宋简体"/>
          <w:snapToGrid w:val="0"/>
          <w:color w:val="000000"/>
          <w:sz w:val="32"/>
          <w:szCs w:val="32"/>
        </w:rPr>
        <w:t>次专题培训，确保业务人员的法律知识，全面增强基层依法治理能力。</w:t>
      </w:r>
    </w:p>
    <w:p w14:paraId="48389A83">
      <w:pPr>
        <w:spacing w:line="576" w:lineRule="exact"/>
        <w:ind w:firstLine="640" w:firstLineChars="200"/>
        <w:rPr>
          <w:rFonts w:ascii="方正楷体简体" w:hAnsi="方正仿宋简体" w:eastAsia="方正楷体简体" w:cs="方正仿宋简体"/>
          <w:snapToGrid w:val="0"/>
          <w:color w:val="000000"/>
          <w:sz w:val="32"/>
          <w:szCs w:val="32"/>
        </w:rPr>
      </w:pPr>
      <w:r>
        <w:rPr>
          <w:rFonts w:hint="eastAsia" w:ascii="方正楷体简体" w:hAnsi="方正仿宋简体" w:eastAsia="方正楷体简体" w:cs="方正仿宋简体"/>
          <w:snapToGrid w:val="0"/>
          <w:color w:val="000000"/>
          <w:sz w:val="32"/>
          <w:szCs w:val="32"/>
        </w:rPr>
        <w:t>（三）深化普法宣传，营造良好法治氛围。</w:t>
      </w:r>
      <w:r>
        <w:rPr>
          <w:rFonts w:hint="eastAsia" w:ascii="方正仿宋简体" w:hAnsi="方正仿宋简体" w:eastAsia="方正仿宋简体" w:cs="方正仿宋简体"/>
          <w:snapToGrid w:val="0"/>
          <w:color w:val="000000"/>
          <w:sz w:val="32"/>
          <w:szCs w:val="32"/>
        </w:rPr>
        <w:t>以“八五”普法为契机，深入开展“法律进乡村”“民法典宣传月”“宪法宣传周”等活动，通过法治讲座、法律咨询、发放宣传资料等形式，广泛宣传法律法规。全年共组织普法宣传活动</w:t>
      </w:r>
      <w:r>
        <w:rPr>
          <w:rFonts w:hint="eastAsia" w:ascii="Times New Roman" w:hAnsi="Times New Roman" w:eastAsia="方正仿宋简体" w:cs="Times New Roman"/>
          <w:snapToGrid w:val="0"/>
          <w:color w:val="000000"/>
          <w:sz w:val="32"/>
          <w:szCs w:val="32"/>
        </w:rPr>
        <w:t>19</w:t>
      </w:r>
      <w:r>
        <w:rPr>
          <w:rFonts w:hint="eastAsia" w:ascii="方正仿宋简体" w:hAnsi="方正仿宋简体" w:eastAsia="方正仿宋简体" w:cs="方正仿宋简体"/>
          <w:snapToGrid w:val="0"/>
          <w:color w:val="000000"/>
          <w:sz w:val="32"/>
          <w:szCs w:val="32"/>
        </w:rPr>
        <w:t>次，发放普法宣传资料</w:t>
      </w:r>
      <w:r>
        <w:rPr>
          <w:rFonts w:ascii="Times New Roman" w:hAnsi="Times New Roman" w:eastAsia="方正仿宋简体" w:cs="Times New Roman"/>
          <w:snapToGrid w:val="0"/>
          <w:color w:val="000000"/>
          <w:sz w:val="32"/>
          <w:szCs w:val="32"/>
        </w:rPr>
        <w:t>300</w:t>
      </w:r>
      <w:r>
        <w:rPr>
          <w:rFonts w:hint="eastAsia" w:ascii="方正仿宋简体" w:hAnsi="方正仿宋简体" w:eastAsia="方正仿宋简体" w:cs="方正仿宋简体"/>
          <w:snapToGrid w:val="0"/>
          <w:color w:val="000000"/>
          <w:sz w:val="32"/>
          <w:szCs w:val="32"/>
        </w:rPr>
        <w:t>余份，开展法治讲座</w:t>
      </w:r>
      <w:r>
        <w:rPr>
          <w:rFonts w:ascii="Times New Roman" w:hAnsi="Times New Roman" w:eastAsia="方正仿宋简体" w:cs="Times New Roman"/>
          <w:snapToGrid w:val="0"/>
          <w:color w:val="000000"/>
          <w:sz w:val="32"/>
          <w:szCs w:val="32"/>
        </w:rPr>
        <w:t>14</w:t>
      </w:r>
      <w:r>
        <w:rPr>
          <w:rFonts w:hint="eastAsia" w:ascii="方正仿宋简体" w:hAnsi="方正仿宋简体" w:eastAsia="方正仿宋简体" w:cs="方正仿宋简体"/>
          <w:snapToGrid w:val="0"/>
          <w:color w:val="000000"/>
          <w:sz w:val="32"/>
          <w:szCs w:val="32"/>
        </w:rPr>
        <w:t>场次，受教育群众达</w:t>
      </w:r>
      <w:r>
        <w:rPr>
          <w:rFonts w:ascii="Times New Roman" w:hAnsi="Times New Roman" w:eastAsia="方正仿宋简体" w:cs="Times New Roman"/>
          <w:snapToGrid w:val="0"/>
          <w:color w:val="000000"/>
          <w:sz w:val="32"/>
          <w:szCs w:val="32"/>
        </w:rPr>
        <w:t>1000</w:t>
      </w:r>
      <w:r>
        <w:rPr>
          <w:rFonts w:hint="eastAsia" w:ascii="方正仿宋简体" w:hAnsi="方正仿宋简体" w:eastAsia="方正仿宋简体" w:cs="方正仿宋简体"/>
          <w:snapToGrid w:val="0"/>
          <w:color w:val="000000"/>
          <w:sz w:val="32"/>
          <w:szCs w:val="32"/>
        </w:rPr>
        <w:t>余人次。充分利用各类微信群、</w:t>
      </w:r>
      <w:r>
        <w:rPr>
          <w:rFonts w:hint="eastAsia" w:ascii="方正仿宋简体" w:hAnsi="方正仿宋简体" w:eastAsia="方正仿宋简体" w:cs="方正仿宋简体"/>
          <w:snapToGrid w:val="0"/>
          <w:color w:val="000000"/>
          <w:sz w:val="32"/>
          <w:szCs w:val="32"/>
          <w:highlight w:val="yellow"/>
          <w:lang w:val="en-US" w:eastAsia="zh-CN"/>
        </w:rPr>
        <w:t>微</w:t>
      </w:r>
      <w:r>
        <w:rPr>
          <w:rFonts w:hint="eastAsia" w:ascii="方正仿宋简体" w:hAnsi="方正仿宋简体" w:eastAsia="方正仿宋简体" w:cs="方正仿宋简体"/>
          <w:snapToGrid w:val="0"/>
          <w:color w:val="000000"/>
          <w:sz w:val="32"/>
          <w:szCs w:val="32"/>
          <w:lang w:val="en-US" w:eastAsia="zh-CN"/>
        </w:rPr>
        <w:t>视频等平台</w:t>
      </w:r>
      <w:r>
        <w:rPr>
          <w:rFonts w:hint="eastAsia" w:ascii="方正仿宋简体" w:hAnsi="方正仿宋简体" w:eastAsia="方正仿宋简体" w:cs="方正仿宋简体"/>
          <w:snapToGrid w:val="0"/>
          <w:color w:val="000000"/>
          <w:sz w:val="32"/>
          <w:szCs w:val="32"/>
        </w:rPr>
        <w:t>宣传短视频</w:t>
      </w:r>
      <w:r>
        <w:rPr>
          <w:rFonts w:ascii="Times New Roman" w:hAnsi="Times New Roman" w:eastAsia="方正仿宋简体" w:cs="Times New Roman"/>
          <w:snapToGrid w:val="0"/>
          <w:color w:val="000000"/>
          <w:sz w:val="32"/>
          <w:szCs w:val="32"/>
        </w:rPr>
        <w:t>50</w:t>
      </w:r>
      <w:r>
        <w:rPr>
          <w:rFonts w:hint="eastAsia" w:ascii="方正仿宋简体" w:hAnsi="方正仿宋简体" w:eastAsia="方正仿宋简体" w:cs="方正仿宋简体"/>
          <w:snapToGrid w:val="0"/>
          <w:color w:val="000000"/>
          <w:sz w:val="32"/>
          <w:szCs w:val="32"/>
        </w:rPr>
        <w:t>余条，法律知识图文信息</w:t>
      </w:r>
      <w:r>
        <w:rPr>
          <w:rFonts w:ascii="Times New Roman" w:hAnsi="Times New Roman" w:eastAsia="方正仿宋简体" w:cs="Times New Roman"/>
          <w:snapToGrid w:val="0"/>
          <w:color w:val="000000"/>
          <w:sz w:val="32"/>
          <w:szCs w:val="32"/>
        </w:rPr>
        <w:t>80</w:t>
      </w:r>
      <w:r>
        <w:rPr>
          <w:rFonts w:hint="eastAsia" w:ascii="方正仿宋简体" w:hAnsi="方正仿宋简体" w:eastAsia="方正仿宋简体" w:cs="方正仿宋简体"/>
          <w:snapToGrid w:val="0"/>
          <w:color w:val="000000"/>
          <w:sz w:val="32"/>
          <w:szCs w:val="32"/>
        </w:rPr>
        <w:t>余条，让群众在日常生活中潜移默化地接受法治教育。</w:t>
      </w:r>
    </w:p>
    <w:p w14:paraId="7D25E35B">
      <w:pPr>
        <w:spacing w:line="576" w:lineRule="exact"/>
        <w:ind w:firstLine="640" w:firstLineChars="200"/>
        <w:rPr>
          <w:rFonts w:ascii="方正仿宋简体" w:hAnsi="方正仿宋简体" w:eastAsia="方正仿宋简体" w:cs="方正仿宋简体"/>
          <w:snapToGrid w:val="0"/>
          <w:color w:val="000000"/>
          <w:sz w:val="32"/>
          <w:szCs w:val="32"/>
        </w:rPr>
      </w:pPr>
      <w:r>
        <w:rPr>
          <w:rFonts w:hint="eastAsia" w:ascii="方正楷体简体" w:hAnsi="方正仿宋简体" w:eastAsia="方正楷体简体" w:cs="方正仿宋简体"/>
          <w:snapToGrid w:val="0"/>
          <w:color w:val="000000"/>
          <w:sz w:val="32"/>
          <w:szCs w:val="32"/>
        </w:rPr>
        <w:t>（四）强化法治运用，赋能基层治理效能。</w:t>
      </w:r>
      <w:r>
        <w:rPr>
          <w:rFonts w:hint="eastAsia" w:ascii="方正仿宋简体" w:hAnsi="方正仿宋简体" w:eastAsia="方正仿宋简体" w:cs="方正仿宋简体"/>
          <w:snapToGrid w:val="0"/>
          <w:color w:val="000000"/>
          <w:sz w:val="32"/>
          <w:szCs w:val="32"/>
        </w:rPr>
        <w:t>持续推行“一站式”服务，提升政务效能。坚持新时代“枫桥经验”，依托“党建引领精准服务、党员干部包村联户”党建品牌作用，不断完善矛盾纠纷调处化解机制，加强公共法律服务体系建设，完善镇村两级公共法律服务平台，为群众提供便捷高效的法律服务。全年办理法律援助案件</w:t>
      </w:r>
      <w:r>
        <w:rPr>
          <w:rFonts w:hint="eastAsia" w:ascii="Times New Roman" w:hAnsi="Times New Roman" w:eastAsia="方正仿宋简体" w:cs="Times New Roman"/>
          <w:snapToGrid w:val="0"/>
          <w:color w:val="000000"/>
          <w:sz w:val="32"/>
          <w:szCs w:val="32"/>
        </w:rPr>
        <w:t>10</w:t>
      </w:r>
      <w:r>
        <w:rPr>
          <w:rFonts w:hint="eastAsia" w:ascii="方正仿宋简体" w:hAnsi="方正仿宋简体" w:eastAsia="方正仿宋简体" w:cs="方正仿宋简体"/>
          <w:snapToGrid w:val="0"/>
          <w:color w:val="000000"/>
          <w:sz w:val="32"/>
          <w:szCs w:val="32"/>
        </w:rPr>
        <w:t>件，调解矛盾纠纷</w:t>
      </w:r>
      <w:r>
        <w:rPr>
          <w:rFonts w:ascii="Times New Roman" w:hAnsi="Times New Roman" w:eastAsia="方正仿宋简体" w:cs="Times New Roman"/>
          <w:snapToGrid w:val="0"/>
          <w:color w:val="000000"/>
          <w:sz w:val="32"/>
          <w:szCs w:val="32"/>
        </w:rPr>
        <w:t>8</w:t>
      </w:r>
      <w:r>
        <w:rPr>
          <w:rFonts w:hint="eastAsia" w:ascii="方正仿宋简体" w:hAnsi="方正仿宋简体" w:eastAsia="方正仿宋简体" w:cs="方正仿宋简体"/>
          <w:snapToGrid w:val="0"/>
          <w:color w:val="000000"/>
          <w:sz w:val="32"/>
          <w:szCs w:val="32"/>
        </w:rPr>
        <w:t>起。</w:t>
      </w:r>
    </w:p>
    <w:p w14:paraId="198275DB">
      <w:pPr>
        <w:spacing w:line="576" w:lineRule="exact"/>
        <w:ind w:firstLine="640" w:firstLineChars="200"/>
        <w:rPr>
          <w:rFonts w:ascii="方正黑体简体" w:hAnsi="Times New Roman" w:eastAsia="方正黑体简体" w:cs="Times New Roman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sz w:val="32"/>
          <w:szCs w:val="32"/>
        </w:rPr>
        <w:t>二、存在的问题</w:t>
      </w:r>
    </w:p>
    <w:p w14:paraId="28AF547E">
      <w:pPr>
        <w:pStyle w:val="5"/>
        <w:spacing w:beforeAutospacing="0" w:afterAutospacing="0" w:line="576" w:lineRule="exact"/>
        <w:ind w:firstLine="640" w:firstLineChars="200"/>
        <w:jc w:val="both"/>
        <w:rPr>
          <w:rFonts w:ascii="方正楷体简体" w:hAnsi="方正仿宋简体" w:eastAsia="方正楷体简体" w:cs="方正仿宋简体"/>
          <w:snapToGrid w:val="0"/>
          <w:color w:val="000000"/>
          <w:kern w:val="2"/>
          <w:sz w:val="32"/>
          <w:szCs w:val="32"/>
        </w:rPr>
      </w:pPr>
      <w:r>
        <w:rPr>
          <w:rFonts w:hint="eastAsia" w:ascii="方正楷体简体" w:hAnsi="方正仿宋简体" w:eastAsia="方正楷体简体" w:cs="方正仿宋简体"/>
          <w:snapToGrid w:val="0"/>
          <w:color w:val="000000"/>
          <w:kern w:val="2"/>
          <w:sz w:val="32"/>
          <w:szCs w:val="32"/>
        </w:rPr>
        <w:t>（一）法治意识有待进一步提高。</w:t>
      </w:r>
      <w:r>
        <w:rPr>
          <w:rFonts w:hint="eastAsia" w:ascii="方正仿宋简体" w:eastAsia="方正仿宋简体" w:cstheme="minorBidi"/>
          <w:kern w:val="2"/>
          <w:sz w:val="32"/>
          <w:szCs w:val="32"/>
        </w:rPr>
        <w:t>部分干部对法治建设的重要性认识不足，运用法治思维和法治方式解决问题的能力还不够强。在工作中，存在重政策、轻法律的现象，一些干部在处理复杂问题时，习惯于依靠行政手段，而忽视了法律途径。</w:t>
      </w:r>
    </w:p>
    <w:p w14:paraId="60A4D181">
      <w:pPr>
        <w:pStyle w:val="5"/>
        <w:spacing w:beforeAutospacing="0" w:afterAutospacing="0" w:line="576" w:lineRule="exact"/>
        <w:ind w:firstLine="640" w:firstLineChars="200"/>
        <w:jc w:val="both"/>
        <w:rPr>
          <w:rFonts w:ascii="方正楷体简体" w:hAnsi="方正仿宋简体" w:eastAsia="方正楷体简体" w:cs="方正仿宋简体"/>
          <w:snapToGrid w:val="0"/>
          <w:color w:val="000000"/>
          <w:kern w:val="2"/>
          <w:sz w:val="32"/>
          <w:szCs w:val="32"/>
        </w:rPr>
      </w:pPr>
      <w:r>
        <w:rPr>
          <w:rFonts w:hint="eastAsia" w:ascii="方正楷体简体" w:hAnsi="方正仿宋简体" w:eastAsia="方正楷体简体" w:cs="方正仿宋简体"/>
          <w:snapToGrid w:val="0"/>
          <w:color w:val="000000"/>
          <w:kern w:val="2"/>
          <w:sz w:val="32"/>
          <w:szCs w:val="32"/>
        </w:rPr>
        <w:t>（二）普法宣传效果有待增强。</w:t>
      </w:r>
      <w:r>
        <w:rPr>
          <w:rFonts w:hint="eastAsia" w:ascii="方正仿宋简体" w:eastAsia="方正仿宋简体" w:cstheme="minorBidi"/>
          <w:kern w:val="2"/>
          <w:sz w:val="32"/>
          <w:szCs w:val="32"/>
        </w:rPr>
        <w:t>普法宣传方式还不够丰富多样，针对性和实效性还不够强。多数情况仍然停留在发传单、设立宣传点等传统方式开展工作的阶段，运用新媒体新技术开展普法工作的能力不足、力度不大。</w:t>
      </w:r>
    </w:p>
    <w:p w14:paraId="5CFCA3A0">
      <w:pPr>
        <w:pStyle w:val="5"/>
        <w:spacing w:beforeAutospacing="0" w:afterAutospacing="0" w:line="576" w:lineRule="exact"/>
        <w:ind w:firstLine="640" w:firstLineChars="200"/>
        <w:jc w:val="both"/>
        <w:rPr>
          <w:rFonts w:ascii="方正楷体简体" w:hAnsi="方正仿宋简体" w:eastAsia="方正楷体简体" w:cs="方正仿宋简体"/>
          <w:snapToGrid w:val="0"/>
          <w:color w:val="000000"/>
          <w:kern w:val="2"/>
          <w:sz w:val="32"/>
          <w:szCs w:val="32"/>
        </w:rPr>
      </w:pPr>
      <w:r>
        <w:rPr>
          <w:rFonts w:hint="eastAsia" w:ascii="方正楷体简体" w:hAnsi="方正仿宋简体" w:eastAsia="方正楷体简体" w:cs="方正仿宋简体"/>
          <w:snapToGrid w:val="0"/>
          <w:color w:val="000000"/>
          <w:kern w:val="2"/>
          <w:sz w:val="32"/>
          <w:szCs w:val="32"/>
        </w:rPr>
        <w:t>（三）矛盾纠纷化解机制有待完善。</w:t>
      </w:r>
      <w:r>
        <w:rPr>
          <w:rFonts w:hint="eastAsia" w:ascii="方正仿宋简体" w:eastAsia="方正仿宋简体" w:cstheme="minorBidi"/>
          <w:kern w:val="2"/>
          <w:sz w:val="32"/>
          <w:szCs w:val="32"/>
        </w:rPr>
        <w:t>人民调解、行政调解、司法调解之间的衔接配合还不够紧密，存在信息沟通不畅、工作协作不够等问题。部分矛盾纠纷化解难度较大、需要进一步整合各方资源，形成工作合力。</w:t>
      </w:r>
    </w:p>
    <w:p w14:paraId="7814BE72">
      <w:pPr>
        <w:pStyle w:val="5"/>
        <w:spacing w:beforeAutospacing="0" w:afterAutospacing="0" w:line="576" w:lineRule="exact"/>
        <w:ind w:firstLine="640" w:firstLineChars="200"/>
        <w:jc w:val="both"/>
        <w:rPr>
          <w:rFonts w:ascii="方正黑体简体" w:hAnsi="微软雅黑" w:eastAsia="方正黑体简体" w:cs="微软雅黑"/>
          <w:color w:val="333333"/>
          <w:sz w:val="32"/>
          <w:szCs w:val="32"/>
        </w:rPr>
      </w:pPr>
      <w:r>
        <w:rPr>
          <w:rFonts w:hint="eastAsia" w:ascii="方正黑体简体" w:hAnsi="微软雅黑" w:eastAsia="方正黑体简体" w:cs="微软雅黑"/>
          <w:color w:val="333333"/>
          <w:sz w:val="32"/>
          <w:szCs w:val="32"/>
        </w:rPr>
        <w:t>三、下一步工作计划</w:t>
      </w:r>
    </w:p>
    <w:p w14:paraId="76A3B22B">
      <w:pPr>
        <w:spacing w:line="576" w:lineRule="exact"/>
        <w:ind w:firstLine="640" w:firstLineChars="200"/>
        <w:rPr>
          <w:rFonts w:ascii="方正楷体简体" w:hAnsi="Times New Roman" w:eastAsia="方正楷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（一）强化思想政治引领，铸牢法治思想根基。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建立健全普法宣传长效机制，制定详细的普法计划，明确工作目标和任务，确保宣传工作的持续性和稳定性。同时，加大对普法宣传工作的投入，保障普法宣传工作的顺利开展。</w:t>
      </w:r>
    </w:p>
    <w:p w14:paraId="2C2B795B">
      <w:pPr>
        <w:spacing w:line="576" w:lineRule="exact"/>
        <w:ind w:firstLine="640" w:firstLineChars="200"/>
        <w:rPr>
          <w:rFonts w:ascii="方正楷体简体" w:hAnsi="Times New Roman" w:eastAsia="方正楷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（二）加强法治教育培训，提高法治能力水平。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制定详细的法治培训计划，定期组织镇村干部开展法治培训，重点学习习近平法治思想、宪法、民法典以及相关的法律法规。通过邀请公检法司专业人员授课，增强培训的针对性和实效性，不断提高镇村干部运用法治思维和法治方式推动工作的能力和水平。</w:t>
      </w:r>
    </w:p>
    <w:p w14:paraId="28BF9006">
      <w:pPr>
        <w:spacing w:line="576" w:lineRule="exact"/>
        <w:ind w:firstLine="640" w:firstLineChars="200"/>
        <w:rPr>
          <w:rFonts w:ascii="方正楷体简体" w:hAnsi="Times New Roman" w:eastAsia="方正楷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（三）创新普法宣传方式，增强普法宣传效果。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结合帕那实际和群众需求，创新普法宣传方式，提高普法宣传的针对性和实效性。充分利用各类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sz w:val="32"/>
          <w:szCs w:val="32"/>
        </w:rPr>
        <w:t>微信群，制定更多的群众喜闻乐见的普法宣传视频，广泛传播法律知识。深入开展“法律进乡村”和各类节点等活动，针对不同群众开展精准普法，不断增强全民法治观念。</w:t>
      </w:r>
    </w:p>
    <w:p w14:paraId="72CD83A1">
      <w:pPr>
        <w:spacing w:line="576" w:lineRule="exact"/>
        <w:ind w:firstLine="640" w:firstLineChars="200"/>
        <w:rPr>
          <w:rFonts w:ascii="方正楷体简体" w:hAnsi="Times New Roman" w:eastAsia="方正楷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（四）完善矛盾化解机制，维护社会和谐稳定。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进一步完善人民调解、行政调解、司法调解联动工作体系，加强各单位之间的信息沟通和工作协作，形成矛盾纠纷化解合力，做到小事不出村、大事不出镇、矛盾不上交。</w:t>
      </w:r>
    </w:p>
    <w:p w14:paraId="12B11062">
      <w:pPr>
        <w:pStyle w:val="5"/>
        <w:spacing w:beforeAutospacing="0" w:afterAutospacing="0" w:line="576" w:lineRule="exact"/>
        <w:jc w:val="both"/>
        <w:rPr>
          <w:rFonts w:ascii="方正黑体简体" w:hAnsi="微软雅黑" w:eastAsia="方正黑体简体" w:cs="微软雅黑"/>
          <w:color w:val="333333"/>
          <w:sz w:val="32"/>
          <w:szCs w:val="32"/>
        </w:rPr>
      </w:pPr>
    </w:p>
    <w:p w14:paraId="6C1E726A">
      <w:pPr>
        <w:pStyle w:val="5"/>
        <w:spacing w:beforeAutospacing="0" w:afterAutospacing="0" w:line="576" w:lineRule="exact"/>
        <w:jc w:val="both"/>
        <w:rPr>
          <w:rFonts w:ascii="Times New Roman" w:hAnsi="Times New Roman" w:eastAsia="方正仿宋简体"/>
          <w:kern w:val="2"/>
          <w:sz w:val="32"/>
          <w:szCs w:val="32"/>
        </w:rPr>
      </w:pPr>
    </w:p>
    <w:p w14:paraId="2A5F9586">
      <w:pPr>
        <w:pStyle w:val="5"/>
        <w:spacing w:beforeAutospacing="0" w:afterAutospacing="0" w:line="576" w:lineRule="exact"/>
        <w:ind w:firstLine="640" w:firstLineChars="200"/>
        <w:jc w:val="both"/>
        <w:rPr>
          <w:rFonts w:ascii="方正仿宋简体" w:eastAsia="方正仿宋简体" w:cstheme="minorBidi"/>
          <w:kern w:val="2"/>
          <w:sz w:val="32"/>
          <w:szCs w:val="32"/>
        </w:rPr>
      </w:pPr>
      <w:r>
        <w:rPr>
          <w:rFonts w:hint="eastAsia" w:ascii="方正仿宋简体" w:eastAsia="方正仿宋简体" w:cstheme="minorBidi"/>
          <w:kern w:val="2"/>
          <w:sz w:val="32"/>
          <w:szCs w:val="32"/>
        </w:rPr>
        <w:t xml:space="preserve">                                帕那镇人民政府</w:t>
      </w:r>
    </w:p>
    <w:p w14:paraId="0AB151DF">
      <w:pPr>
        <w:spacing w:line="576" w:lineRule="exact"/>
        <w:ind w:right="640"/>
        <w:jc w:val="right"/>
        <w:rPr>
          <w:rFonts w:ascii="方正仿宋简体" w:eastAsia="方正仿宋简体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2025</w:t>
      </w:r>
      <w:r>
        <w:rPr>
          <w:rFonts w:hint="eastAsia" w:ascii="方正仿宋简体" w:eastAsia="方正仿宋简体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5</w:t>
      </w:r>
      <w:r>
        <w:rPr>
          <w:rFonts w:hint="eastAsia" w:ascii="方正仿宋简体" w:eastAsia="方正仿宋简体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19</w:t>
      </w:r>
      <w:r>
        <w:rPr>
          <w:rFonts w:hint="eastAsia" w:ascii="方正仿宋简体" w:eastAsia="方正仿宋简体"/>
          <w:sz w:val="32"/>
          <w:szCs w:val="32"/>
        </w:rPr>
        <w:t>日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953702"/>
      <w:docPartObj>
        <w:docPartGallery w:val="AutoText"/>
      </w:docPartObj>
    </w:sdtPr>
    <w:sdtContent>
      <w:p w14:paraId="6C452CE7">
        <w:pPr>
          <w:pStyle w:val="3"/>
          <w:ind w:left="210" w:leftChars="100" w:right="210" w:rightChars="100"/>
          <w:jc w:val="right"/>
        </w:pPr>
        <w:r>
          <w:rPr>
            <w:rFonts w:hint="eastAsia"/>
            <w:sz w:val="30"/>
          </w:rPr>
          <w:t>-</w:t>
        </w:r>
        <w:r>
          <w:rPr>
            <w:sz w:val="30"/>
          </w:rPr>
          <w:fldChar w:fldCharType="begin"/>
        </w:r>
        <w:r>
          <w:rPr>
            <w:sz w:val="30"/>
          </w:rPr>
          <w:instrText xml:space="preserve"> PAGE   \* MERGEFORMAT </w:instrText>
        </w:r>
        <w:r>
          <w:rPr>
            <w:sz w:val="30"/>
          </w:rPr>
          <w:fldChar w:fldCharType="separate"/>
        </w:r>
        <w:r>
          <w:rPr>
            <w:sz w:val="30"/>
            <w:lang w:val="zh-CN"/>
          </w:rPr>
          <w:t>3</w:t>
        </w:r>
        <w:r>
          <w:rPr>
            <w:sz w:val="30"/>
          </w:rPr>
          <w:fldChar w:fldCharType="end"/>
        </w:r>
        <w:r>
          <w:rPr>
            <w:rFonts w:hint="eastAsia"/>
            <w:sz w:val="30"/>
          </w:rPr>
          <w:t>-</w:t>
        </w:r>
      </w:p>
    </w:sdtContent>
  </w:sdt>
  <w:p w14:paraId="0D755ACB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705373"/>
      <w:docPartObj>
        <w:docPartGallery w:val="AutoText"/>
      </w:docPartObj>
    </w:sdtPr>
    <w:sdtContent>
      <w:p w14:paraId="59970073">
        <w:pPr>
          <w:pStyle w:val="3"/>
          <w:ind w:left="210" w:leftChars="100" w:right="210" w:rightChars="100"/>
        </w:pPr>
        <w:r>
          <w:rPr>
            <w:rFonts w:hint="eastAsia"/>
            <w:sz w:val="30"/>
          </w:rPr>
          <w:t>-</w:t>
        </w:r>
        <w:r>
          <w:rPr>
            <w:sz w:val="30"/>
          </w:rPr>
          <w:t xml:space="preserve"> </w:t>
        </w:r>
        <w:r>
          <w:rPr>
            <w:sz w:val="30"/>
          </w:rPr>
          <w:fldChar w:fldCharType="begin"/>
        </w:r>
        <w:r>
          <w:rPr>
            <w:sz w:val="30"/>
          </w:rPr>
          <w:instrText xml:space="preserve"> PAGE   \* MERGEFORMAT </w:instrText>
        </w:r>
        <w:r>
          <w:rPr>
            <w:sz w:val="30"/>
          </w:rPr>
          <w:fldChar w:fldCharType="separate"/>
        </w:r>
        <w:r>
          <w:rPr>
            <w:sz w:val="30"/>
            <w:lang w:val="zh-CN"/>
          </w:rPr>
          <w:t>2</w:t>
        </w:r>
        <w:r>
          <w:rPr>
            <w:sz w:val="30"/>
          </w:rPr>
          <w:fldChar w:fldCharType="end"/>
        </w:r>
        <w:r>
          <w:rPr>
            <w:rFonts w:hint="eastAsia"/>
            <w:sz w:val="30"/>
          </w:rPr>
          <w:t>-</w:t>
        </w:r>
      </w:p>
    </w:sdtContent>
  </w:sdt>
  <w:p w14:paraId="6454EFAB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4B4A"/>
    <w:rsid w:val="0000185D"/>
    <w:rsid w:val="0000629E"/>
    <w:rsid w:val="0000706D"/>
    <w:rsid w:val="0001367C"/>
    <w:rsid w:val="000152AB"/>
    <w:rsid w:val="00015D65"/>
    <w:rsid w:val="00016170"/>
    <w:rsid w:val="000176F1"/>
    <w:rsid w:val="000221CF"/>
    <w:rsid w:val="00022A3F"/>
    <w:rsid w:val="00022CD6"/>
    <w:rsid w:val="000238A6"/>
    <w:rsid w:val="00026C1B"/>
    <w:rsid w:val="00036D98"/>
    <w:rsid w:val="00046620"/>
    <w:rsid w:val="00050B8B"/>
    <w:rsid w:val="00053F29"/>
    <w:rsid w:val="00054809"/>
    <w:rsid w:val="000766BE"/>
    <w:rsid w:val="00082BFC"/>
    <w:rsid w:val="00084DD3"/>
    <w:rsid w:val="00085E14"/>
    <w:rsid w:val="00095AD6"/>
    <w:rsid w:val="00095B49"/>
    <w:rsid w:val="000A5766"/>
    <w:rsid w:val="000B43BD"/>
    <w:rsid w:val="000C2BE3"/>
    <w:rsid w:val="000C3071"/>
    <w:rsid w:val="000D5EF3"/>
    <w:rsid w:val="000E1162"/>
    <w:rsid w:val="000F09B6"/>
    <w:rsid w:val="00100A73"/>
    <w:rsid w:val="00105CAF"/>
    <w:rsid w:val="00112807"/>
    <w:rsid w:val="0011782C"/>
    <w:rsid w:val="00123A31"/>
    <w:rsid w:val="001270E8"/>
    <w:rsid w:val="00133462"/>
    <w:rsid w:val="00160217"/>
    <w:rsid w:val="0016211A"/>
    <w:rsid w:val="0016328B"/>
    <w:rsid w:val="0017260D"/>
    <w:rsid w:val="00185184"/>
    <w:rsid w:val="001917FD"/>
    <w:rsid w:val="0019374A"/>
    <w:rsid w:val="001A7F1D"/>
    <w:rsid w:val="001B2869"/>
    <w:rsid w:val="001B794F"/>
    <w:rsid w:val="001C4190"/>
    <w:rsid w:val="001D14FB"/>
    <w:rsid w:val="001D18C7"/>
    <w:rsid w:val="001E4F78"/>
    <w:rsid w:val="001E74D3"/>
    <w:rsid w:val="001F3ABC"/>
    <w:rsid w:val="00216D42"/>
    <w:rsid w:val="00224277"/>
    <w:rsid w:val="0022488B"/>
    <w:rsid w:val="00225012"/>
    <w:rsid w:val="00227390"/>
    <w:rsid w:val="00231FD0"/>
    <w:rsid w:val="00235C92"/>
    <w:rsid w:val="0025597F"/>
    <w:rsid w:val="00257730"/>
    <w:rsid w:val="00263918"/>
    <w:rsid w:val="00265D5E"/>
    <w:rsid w:val="00271937"/>
    <w:rsid w:val="00276CE9"/>
    <w:rsid w:val="00281AEF"/>
    <w:rsid w:val="00283F0F"/>
    <w:rsid w:val="0028721D"/>
    <w:rsid w:val="00287B52"/>
    <w:rsid w:val="00287F77"/>
    <w:rsid w:val="002934EA"/>
    <w:rsid w:val="002A3EFF"/>
    <w:rsid w:val="002A4169"/>
    <w:rsid w:val="002B502C"/>
    <w:rsid w:val="002C26E5"/>
    <w:rsid w:val="002D0861"/>
    <w:rsid w:val="002D6F82"/>
    <w:rsid w:val="002E65D8"/>
    <w:rsid w:val="002F239A"/>
    <w:rsid w:val="002F5415"/>
    <w:rsid w:val="002F553B"/>
    <w:rsid w:val="00312E3C"/>
    <w:rsid w:val="0031737A"/>
    <w:rsid w:val="00317E9C"/>
    <w:rsid w:val="00320E2D"/>
    <w:rsid w:val="003210BC"/>
    <w:rsid w:val="0032172A"/>
    <w:rsid w:val="00321B2D"/>
    <w:rsid w:val="0032472C"/>
    <w:rsid w:val="003257EB"/>
    <w:rsid w:val="00326BED"/>
    <w:rsid w:val="00340F3A"/>
    <w:rsid w:val="00341377"/>
    <w:rsid w:val="003413F8"/>
    <w:rsid w:val="00355F71"/>
    <w:rsid w:val="0036104E"/>
    <w:rsid w:val="003626F6"/>
    <w:rsid w:val="00382601"/>
    <w:rsid w:val="003907A8"/>
    <w:rsid w:val="00393797"/>
    <w:rsid w:val="00393F29"/>
    <w:rsid w:val="00394669"/>
    <w:rsid w:val="003A079B"/>
    <w:rsid w:val="003C6ECE"/>
    <w:rsid w:val="003D00C1"/>
    <w:rsid w:val="003D6905"/>
    <w:rsid w:val="003E1FF4"/>
    <w:rsid w:val="003F3B1A"/>
    <w:rsid w:val="003F4D12"/>
    <w:rsid w:val="003F6BE5"/>
    <w:rsid w:val="00405ABB"/>
    <w:rsid w:val="00406986"/>
    <w:rsid w:val="004112BD"/>
    <w:rsid w:val="00413156"/>
    <w:rsid w:val="00430504"/>
    <w:rsid w:val="00436486"/>
    <w:rsid w:val="00440AD4"/>
    <w:rsid w:val="004417CD"/>
    <w:rsid w:val="00442687"/>
    <w:rsid w:val="0045306B"/>
    <w:rsid w:val="004659F2"/>
    <w:rsid w:val="00472E52"/>
    <w:rsid w:val="00473696"/>
    <w:rsid w:val="00473B53"/>
    <w:rsid w:val="00477FC9"/>
    <w:rsid w:val="00491D10"/>
    <w:rsid w:val="004A58B0"/>
    <w:rsid w:val="004A5C34"/>
    <w:rsid w:val="004B1B13"/>
    <w:rsid w:val="004C3B53"/>
    <w:rsid w:val="004C4EE2"/>
    <w:rsid w:val="004C7AEC"/>
    <w:rsid w:val="004C7E88"/>
    <w:rsid w:val="004D1FDE"/>
    <w:rsid w:val="004D4936"/>
    <w:rsid w:val="004D63FF"/>
    <w:rsid w:val="004E04BC"/>
    <w:rsid w:val="004E13EF"/>
    <w:rsid w:val="004E466E"/>
    <w:rsid w:val="004E6AB5"/>
    <w:rsid w:val="004E74A4"/>
    <w:rsid w:val="004E74DA"/>
    <w:rsid w:val="004F3F12"/>
    <w:rsid w:val="004F7340"/>
    <w:rsid w:val="0050392E"/>
    <w:rsid w:val="00521B4B"/>
    <w:rsid w:val="0052568D"/>
    <w:rsid w:val="0053666F"/>
    <w:rsid w:val="00536738"/>
    <w:rsid w:val="0056276B"/>
    <w:rsid w:val="00564049"/>
    <w:rsid w:val="005746F9"/>
    <w:rsid w:val="005944F2"/>
    <w:rsid w:val="00594692"/>
    <w:rsid w:val="005A027D"/>
    <w:rsid w:val="005A325C"/>
    <w:rsid w:val="005A42B8"/>
    <w:rsid w:val="005A5EB4"/>
    <w:rsid w:val="005B2EAF"/>
    <w:rsid w:val="005B66A0"/>
    <w:rsid w:val="005B7356"/>
    <w:rsid w:val="005C3618"/>
    <w:rsid w:val="005C564E"/>
    <w:rsid w:val="005D5CAA"/>
    <w:rsid w:val="005F0B09"/>
    <w:rsid w:val="00601327"/>
    <w:rsid w:val="006024A0"/>
    <w:rsid w:val="00622971"/>
    <w:rsid w:val="00635BC9"/>
    <w:rsid w:val="00643DDE"/>
    <w:rsid w:val="00644E0B"/>
    <w:rsid w:val="00653133"/>
    <w:rsid w:val="006608FA"/>
    <w:rsid w:val="00660EC5"/>
    <w:rsid w:val="006633A6"/>
    <w:rsid w:val="00666A6A"/>
    <w:rsid w:val="00675459"/>
    <w:rsid w:val="00677CFD"/>
    <w:rsid w:val="00684896"/>
    <w:rsid w:val="00684FE8"/>
    <w:rsid w:val="0069077D"/>
    <w:rsid w:val="0069375D"/>
    <w:rsid w:val="006A7FCD"/>
    <w:rsid w:val="006B33F0"/>
    <w:rsid w:val="006B46B1"/>
    <w:rsid w:val="006B53C9"/>
    <w:rsid w:val="006C1112"/>
    <w:rsid w:val="006C40A3"/>
    <w:rsid w:val="006C710D"/>
    <w:rsid w:val="006D1837"/>
    <w:rsid w:val="006E4EFF"/>
    <w:rsid w:val="006F3C46"/>
    <w:rsid w:val="006F68D8"/>
    <w:rsid w:val="007013EB"/>
    <w:rsid w:val="00710954"/>
    <w:rsid w:val="0071153A"/>
    <w:rsid w:val="00711720"/>
    <w:rsid w:val="007357B6"/>
    <w:rsid w:val="00735F0D"/>
    <w:rsid w:val="007456C5"/>
    <w:rsid w:val="00747C0D"/>
    <w:rsid w:val="00756952"/>
    <w:rsid w:val="00757E3E"/>
    <w:rsid w:val="007708B2"/>
    <w:rsid w:val="0077134D"/>
    <w:rsid w:val="007808F8"/>
    <w:rsid w:val="00790BF2"/>
    <w:rsid w:val="007928A7"/>
    <w:rsid w:val="00794EC9"/>
    <w:rsid w:val="007A0918"/>
    <w:rsid w:val="007B6C58"/>
    <w:rsid w:val="007C1314"/>
    <w:rsid w:val="007D03CE"/>
    <w:rsid w:val="007D0D6D"/>
    <w:rsid w:val="007D0EA7"/>
    <w:rsid w:val="007D2D1B"/>
    <w:rsid w:val="007E6779"/>
    <w:rsid w:val="007F0B4F"/>
    <w:rsid w:val="007F2577"/>
    <w:rsid w:val="00802A57"/>
    <w:rsid w:val="00807EF1"/>
    <w:rsid w:val="00817A9E"/>
    <w:rsid w:val="0082639B"/>
    <w:rsid w:val="008324D5"/>
    <w:rsid w:val="00832EE5"/>
    <w:rsid w:val="00841B7C"/>
    <w:rsid w:val="00842DE5"/>
    <w:rsid w:val="00854D76"/>
    <w:rsid w:val="0086349C"/>
    <w:rsid w:val="008701FD"/>
    <w:rsid w:val="008851FF"/>
    <w:rsid w:val="008940A2"/>
    <w:rsid w:val="008C2927"/>
    <w:rsid w:val="008D078C"/>
    <w:rsid w:val="008D326D"/>
    <w:rsid w:val="008E1846"/>
    <w:rsid w:val="008E2D69"/>
    <w:rsid w:val="008F1732"/>
    <w:rsid w:val="008F64E9"/>
    <w:rsid w:val="008F730E"/>
    <w:rsid w:val="00904EE1"/>
    <w:rsid w:val="009121DF"/>
    <w:rsid w:val="00917BAA"/>
    <w:rsid w:val="00921425"/>
    <w:rsid w:val="0092283A"/>
    <w:rsid w:val="0093289D"/>
    <w:rsid w:val="009352D4"/>
    <w:rsid w:val="009359AD"/>
    <w:rsid w:val="009375B7"/>
    <w:rsid w:val="009477A9"/>
    <w:rsid w:val="00952341"/>
    <w:rsid w:val="00960C91"/>
    <w:rsid w:val="00960FF8"/>
    <w:rsid w:val="00964B43"/>
    <w:rsid w:val="00964BEF"/>
    <w:rsid w:val="00965DC5"/>
    <w:rsid w:val="00972158"/>
    <w:rsid w:val="0097477E"/>
    <w:rsid w:val="00975131"/>
    <w:rsid w:val="00985C99"/>
    <w:rsid w:val="00986E8C"/>
    <w:rsid w:val="00994D93"/>
    <w:rsid w:val="009A0178"/>
    <w:rsid w:val="009A4711"/>
    <w:rsid w:val="009A504E"/>
    <w:rsid w:val="009B1DA9"/>
    <w:rsid w:val="009C05D8"/>
    <w:rsid w:val="009C57E1"/>
    <w:rsid w:val="009C5DC3"/>
    <w:rsid w:val="009D2B82"/>
    <w:rsid w:val="009D419E"/>
    <w:rsid w:val="009E0BF1"/>
    <w:rsid w:val="009E7D1A"/>
    <w:rsid w:val="009F12C1"/>
    <w:rsid w:val="009F6EAC"/>
    <w:rsid w:val="009F72FD"/>
    <w:rsid w:val="009F7A09"/>
    <w:rsid w:val="00A03DB9"/>
    <w:rsid w:val="00A07C19"/>
    <w:rsid w:val="00A10B3C"/>
    <w:rsid w:val="00A12C66"/>
    <w:rsid w:val="00A13BF4"/>
    <w:rsid w:val="00A17274"/>
    <w:rsid w:val="00A1749A"/>
    <w:rsid w:val="00A40377"/>
    <w:rsid w:val="00A403FA"/>
    <w:rsid w:val="00A44B4A"/>
    <w:rsid w:val="00A46345"/>
    <w:rsid w:val="00A51437"/>
    <w:rsid w:val="00A53D90"/>
    <w:rsid w:val="00A55F9E"/>
    <w:rsid w:val="00A57116"/>
    <w:rsid w:val="00A65F09"/>
    <w:rsid w:val="00A73424"/>
    <w:rsid w:val="00A77532"/>
    <w:rsid w:val="00A85393"/>
    <w:rsid w:val="00A90EB3"/>
    <w:rsid w:val="00A9556C"/>
    <w:rsid w:val="00AA384B"/>
    <w:rsid w:val="00AA5AB8"/>
    <w:rsid w:val="00AB0F61"/>
    <w:rsid w:val="00AB333F"/>
    <w:rsid w:val="00AB585F"/>
    <w:rsid w:val="00AD11B3"/>
    <w:rsid w:val="00AE2D9B"/>
    <w:rsid w:val="00B0048E"/>
    <w:rsid w:val="00B012ED"/>
    <w:rsid w:val="00B05EC7"/>
    <w:rsid w:val="00B06F21"/>
    <w:rsid w:val="00B1097D"/>
    <w:rsid w:val="00B3176D"/>
    <w:rsid w:val="00B36A1A"/>
    <w:rsid w:val="00B41E94"/>
    <w:rsid w:val="00B56774"/>
    <w:rsid w:val="00B60E51"/>
    <w:rsid w:val="00B73E1A"/>
    <w:rsid w:val="00B776AD"/>
    <w:rsid w:val="00B84D85"/>
    <w:rsid w:val="00B85310"/>
    <w:rsid w:val="00B86656"/>
    <w:rsid w:val="00B8785E"/>
    <w:rsid w:val="00B91E91"/>
    <w:rsid w:val="00B96618"/>
    <w:rsid w:val="00BA006B"/>
    <w:rsid w:val="00BA5C52"/>
    <w:rsid w:val="00BB47E0"/>
    <w:rsid w:val="00BB7123"/>
    <w:rsid w:val="00BB77BF"/>
    <w:rsid w:val="00BC0971"/>
    <w:rsid w:val="00BC17D7"/>
    <w:rsid w:val="00BC28D9"/>
    <w:rsid w:val="00BD718A"/>
    <w:rsid w:val="00BE263C"/>
    <w:rsid w:val="00BE4D1B"/>
    <w:rsid w:val="00BE6135"/>
    <w:rsid w:val="00BE6EC2"/>
    <w:rsid w:val="00BF6F5A"/>
    <w:rsid w:val="00BF7120"/>
    <w:rsid w:val="00C125C8"/>
    <w:rsid w:val="00C15FD3"/>
    <w:rsid w:val="00C177CA"/>
    <w:rsid w:val="00C2061E"/>
    <w:rsid w:val="00C21C4B"/>
    <w:rsid w:val="00C35480"/>
    <w:rsid w:val="00C50CE2"/>
    <w:rsid w:val="00C52CA3"/>
    <w:rsid w:val="00C52E8F"/>
    <w:rsid w:val="00C64313"/>
    <w:rsid w:val="00C7207B"/>
    <w:rsid w:val="00C86BB0"/>
    <w:rsid w:val="00C91F2E"/>
    <w:rsid w:val="00C938A2"/>
    <w:rsid w:val="00C96ACB"/>
    <w:rsid w:val="00C97E51"/>
    <w:rsid w:val="00CA0AA7"/>
    <w:rsid w:val="00CB25CA"/>
    <w:rsid w:val="00CB3487"/>
    <w:rsid w:val="00CB3CC4"/>
    <w:rsid w:val="00CB6860"/>
    <w:rsid w:val="00CC64BF"/>
    <w:rsid w:val="00CE28E5"/>
    <w:rsid w:val="00CE2CE9"/>
    <w:rsid w:val="00CE55F7"/>
    <w:rsid w:val="00CF1D4A"/>
    <w:rsid w:val="00CF2E90"/>
    <w:rsid w:val="00CF531D"/>
    <w:rsid w:val="00CF6B3E"/>
    <w:rsid w:val="00CF75FC"/>
    <w:rsid w:val="00D1013F"/>
    <w:rsid w:val="00D12D20"/>
    <w:rsid w:val="00D24BE3"/>
    <w:rsid w:val="00D26046"/>
    <w:rsid w:val="00D3075A"/>
    <w:rsid w:val="00D3239B"/>
    <w:rsid w:val="00D4315F"/>
    <w:rsid w:val="00D459DA"/>
    <w:rsid w:val="00D46B87"/>
    <w:rsid w:val="00D47C34"/>
    <w:rsid w:val="00D607B9"/>
    <w:rsid w:val="00D63A72"/>
    <w:rsid w:val="00D700E5"/>
    <w:rsid w:val="00D754BB"/>
    <w:rsid w:val="00D8419C"/>
    <w:rsid w:val="00D93D31"/>
    <w:rsid w:val="00D97EDB"/>
    <w:rsid w:val="00DA1327"/>
    <w:rsid w:val="00DA14D6"/>
    <w:rsid w:val="00DA5DD9"/>
    <w:rsid w:val="00DB13F1"/>
    <w:rsid w:val="00DB17EA"/>
    <w:rsid w:val="00DB2084"/>
    <w:rsid w:val="00DD2B85"/>
    <w:rsid w:val="00DF19D5"/>
    <w:rsid w:val="00E024FD"/>
    <w:rsid w:val="00E21FE7"/>
    <w:rsid w:val="00E36550"/>
    <w:rsid w:val="00E4132E"/>
    <w:rsid w:val="00E41F73"/>
    <w:rsid w:val="00E56D3A"/>
    <w:rsid w:val="00E63130"/>
    <w:rsid w:val="00E7198C"/>
    <w:rsid w:val="00E760C3"/>
    <w:rsid w:val="00E80268"/>
    <w:rsid w:val="00E819A1"/>
    <w:rsid w:val="00E84990"/>
    <w:rsid w:val="00E8741E"/>
    <w:rsid w:val="00EA0CFE"/>
    <w:rsid w:val="00EA2C06"/>
    <w:rsid w:val="00EA390F"/>
    <w:rsid w:val="00EB729E"/>
    <w:rsid w:val="00ED1409"/>
    <w:rsid w:val="00ED42B7"/>
    <w:rsid w:val="00ED711C"/>
    <w:rsid w:val="00EE2AE0"/>
    <w:rsid w:val="00EE5230"/>
    <w:rsid w:val="00EE536A"/>
    <w:rsid w:val="00EF5E8D"/>
    <w:rsid w:val="00F00187"/>
    <w:rsid w:val="00F0334C"/>
    <w:rsid w:val="00F05703"/>
    <w:rsid w:val="00F05FAA"/>
    <w:rsid w:val="00F10D88"/>
    <w:rsid w:val="00F1134A"/>
    <w:rsid w:val="00F14A10"/>
    <w:rsid w:val="00F2477A"/>
    <w:rsid w:val="00F2793D"/>
    <w:rsid w:val="00F35B8B"/>
    <w:rsid w:val="00F400E5"/>
    <w:rsid w:val="00F458EE"/>
    <w:rsid w:val="00F619EB"/>
    <w:rsid w:val="00F61E1B"/>
    <w:rsid w:val="00F64959"/>
    <w:rsid w:val="00F65247"/>
    <w:rsid w:val="00F6665B"/>
    <w:rsid w:val="00F82CB0"/>
    <w:rsid w:val="00F836FF"/>
    <w:rsid w:val="00F91CA7"/>
    <w:rsid w:val="00FA5C12"/>
    <w:rsid w:val="00FA600B"/>
    <w:rsid w:val="00FB086E"/>
    <w:rsid w:val="00FB3D0C"/>
    <w:rsid w:val="00FB5742"/>
    <w:rsid w:val="00FB5F32"/>
    <w:rsid w:val="00FF7A0E"/>
    <w:rsid w:val="00FF7C6C"/>
    <w:rsid w:val="0C87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uiPriority w:val="99"/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1943</Words>
  <Characters>1966</Characters>
  <Lines>14</Lines>
  <Paragraphs>4</Paragraphs>
  <TotalTime>6</TotalTime>
  <ScaleCrop>false</ScaleCrop>
  <LinksUpToDate>false</LinksUpToDate>
  <CharactersWithSpaces>1998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2025-05-20T09:24:00Z</dcterms:created>
  <dc:creator>微软用户</dc:creator>
  <cp:lastModifiedBy>次央</cp:lastModifiedBy>
  <cp:lastPrinted>2025-05-20T09:24:00Z</cp:lastPrinted>
  <dcterms:modified xsi:type="dcterms:W3CDTF">2025-05-20T10:14:43Z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eyJoZGlkIjoiMmQ5MGNhMTJkZThhYTMwM2NkMzIzYWEwMGE4NTcxNzgiLCJ1c2VySWQiOiI0MTQ4NTA2OTEifQ==</vt:lpwstr>
  </property>
  <property fmtid="{D5CDD505-2E9C-101B-9397-08002B2CF9AE}" pid="3" name="KSOProductBuildVer">
    <vt:lpwstr>2052-12.1.0.21171</vt:lpwstr>
  </property>
  <property fmtid="{D5CDD505-2E9C-101B-9397-08002B2CF9AE}" pid="4" name="ICV">
    <vt:lpwstr>885785D967544D46838E227BEA8E8C30_12</vt:lpwstr>
  </property>
</Properties>
</file>