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安多县色务乡2024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年度法治政府</w:t>
      </w:r>
    </w:p>
    <w:p w14:paraId="0EC3E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建设情况报告</w:t>
      </w:r>
    </w:p>
    <w:p w14:paraId="6A9C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C734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年，在县委、县政府的坚强领导下，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色务乡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贯彻落实习近平法治思想，紧紧围绕法治政府建设的目标和任务，坚持依法行政、依法治乡，不断提高依法决策、依法行政、依法治理水平，为全乡经济社会发展筑牢了坚实的法治保障。现将我乡全年法治政府建设情况报告如下：</w:t>
      </w:r>
      <w:bookmarkStart w:id="0" w:name="_GoBack"/>
      <w:bookmarkEnd w:id="0"/>
    </w:p>
    <w:p w14:paraId="44299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做法及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成效</w:t>
      </w:r>
    </w:p>
    <w:p w14:paraId="4C66C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完善顶层设计，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强化组织领导</w:t>
      </w:r>
    </w:p>
    <w:p w14:paraId="57ED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色务乡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党委、政府高度重视法治建设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党政主要负责人积极履行法治建设第一责任人职责，坚持“法无授权不可为”的总原则，带头遵守宪法法律，严格依法决策、依法行政，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法治建设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作为一项重要任务列入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全乡年度工作计划和重要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议事日程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成立了由乡党委书记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组长的法治政府建设工作领导小组，明确职责分工，加强统筹协调，形成全乡上下共同参与法治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创建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格局。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同时，以召开周例会、专题会议等方式，推进法治建设工作情况，研究解决在法治政府建设工作中的各类问题，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确保法治政府建设工作有序推进。</w:t>
      </w:r>
    </w:p>
    <w:p w14:paraId="5ACD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注重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法治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宣传教育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持续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提升法治素养</w:t>
      </w:r>
    </w:p>
    <w:p w14:paraId="7631C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以深入推动“八五”普法为总抓手，坚持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领导干部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带头学，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将习近平法治思想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宪法、民法典等法律法规作为乡党委理论学习中心组重要学习内容，重点围绕如何提升领导干部运用法治思维和依法行政能力，以及如何推动基层治理、平安建设、维护稳定、化解矛盾纠纷等方面的能力和水平，发挥新时代“枫桥经验”，不定期组织领导干部，采取个人自学、交流发言、外出观摩等方式，开展法治专题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次。</w:t>
      </w:r>
    </w:p>
    <w:p w14:paraId="37DD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2.注重普法宣传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充分发动乡级宣讲员传递法治声音，利用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三月平安建设宣传月、“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4.15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全民国家安全教育日、六月平安宣传周、9.16平西藏宣传日等各类活动，通过悬挂横幅标语、法律咨询解答、发放宣传资料等方式，不断构建办事依法、遇事找法、解决问题用法、化解矛盾靠法的法治环境。同时，运用乡村两级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微信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“同心圆”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群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电子横幅等新媒体转发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平安安多 法治微讲堂”、典型案例、法律知识等内容，进一步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增强全民尊法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学法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守法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的良好氛围。据统计，线上线下共开展法治宣传50余次、受教育群众1000余人，发放宣传资料和宣传品1000余份、悬挂横幅30余条，解答法律疑问32个。</w:t>
      </w:r>
    </w:p>
    <w:p w14:paraId="50D94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坚持依法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行政，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规范依法决策</w:t>
      </w:r>
    </w:p>
    <w:p w14:paraId="3951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依法行政决策。严格落实“三重一大”制度，结合“色务乡党政联席会议制度”中明确的议事原则、议事范围、议事议程、执行与监督等方面，对涉及全乡发展的重大事项、重大项目、重要民生问题，以及进一步更新完善乡规民约、村规民约等重大方面，严格按照公众参与、风险评估、合法性审查、集体讨论决定等法定程序进行决策，确保各项决策科学、民主、合法。</w:t>
      </w:r>
    </w:p>
    <w:p w14:paraId="10CB6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推行政务公开。根据《中华人民共和国政府信息公开条例》，设立乡、村两级政务公开栏。乡级围绕行政机关的基本信息、全乡经济社会发展规划、基础设施建设、行政管理和服务事项、财政和公共资源信息、重大建设项目和民生事项等内容予以公开，村级按照“四议两公开”制度要求，采取线上与线下相结合的方式，及时公开各类信息，主动接受广大干部群众的监督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年公开政务信息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余次。</w:t>
      </w:r>
    </w:p>
    <w:p w14:paraId="0331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做实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化解矛盾纠纷，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促进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社会稳定</w:t>
      </w:r>
    </w:p>
    <w:p w14:paraId="3160A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坚持党建引领法治建设。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持续深化“党建引领精准服务 党员干部包村联户”党建品牌，按照“把温暖带出去 把矛盾带回来”工作方式，入户走访排查各类纠纷等140次，成功调解31次，同比下降11%。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规范建立一站式矛盾纠纷调解中心。严格按照上级相关工作要求，完善乡村两级一站式矛盾纠纷调解中心成员，研究制定工作制度、调解流程、调解职责、调解协议书和卷宗规范填写等。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加强对人民调解员的培训和指导，提高人民调解工作水平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先后开展培训指导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次。</w:t>
      </w:r>
    </w:p>
    <w:p w14:paraId="1036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始终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坚持和发展新时代“枫桥经验”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充分发挥“一统六联”机制作用，积极统筹村干部、驻村干部、联户长、网格员等力量，不定期开展各类安全隐患、信访隐患、矛盾纠纷隐患大排查、大走访活动36余次，排查调解矛盾纠纷9起、涉及资金5400元，切实做到了早发现、早处置，形成了平安联创、矛盾联调、问题联治的工作格局。</w:t>
      </w:r>
    </w:p>
    <w:p w14:paraId="714FB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畅通信访渠道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规范信访程序，维护信访秩序，落实信访责任。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按照领导干部接访下访制度要求，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依法有效地化解各类矛盾纠纷和信访问题，畅通群众利益诉求渠道，使群众反映的合法合理诉求得到有效化解。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年受理群众信访事项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件，化解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件，群众满意度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%。</w:t>
      </w:r>
    </w:p>
    <w:p w14:paraId="2F43A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积极探索“党支部＋网格＋双联户＋奋进队员＋交通劝导员＋科技支撑”的依法治理新模式。组织动员联户长、网格员、牧民党员等人员力量，在辖区内不间断开展治安巡逻150余次，形成了强有力的震慑效果。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进一步统筹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交通劝导员、奋进队员等人员力量，充实到法治建设当中，每天指派4-8名交通劝导员，在色务乡搬迁点辖区交通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路口开展文明交通劝导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重点对驾驶摩托车不按规定佩戴头盔、驾驶车辆未系安全带、超速行驶、占道行驶、人货混装等重点违法行为进行劝导。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同时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过往行人宣传交通安全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常识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，引导群众自觉遵守交通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安全相关法律法规，切实营造了安全、文明、和谐的道路交通环境。截止目前发现道路交通安全隐患、发现交通违法行为40余起，宣传道路交通安全常识500余人次。</w:t>
      </w:r>
    </w:p>
    <w:p w14:paraId="53038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二、存在问题与不足</w:t>
      </w:r>
    </w:p>
    <w:p w14:paraId="1AE7D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法治意识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有待加强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部分干部对法治政府建设的重要性认识不足，运用法治思维和法治方式解决问题的能力还不够强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在工作中存在重政策轻法律、重管理轻服务的现象。</w:t>
      </w:r>
    </w:p>
    <w:p w14:paraId="0089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法治宣传教育效果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不佳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法治宣传教育方式方法较为单一，针对性和实效性还不够强。部分群众对法律法规知识了解不够，法治意识淡薄，参与法治建设的积极性不高。</w:t>
      </w:r>
    </w:p>
    <w:p w14:paraId="4E7A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矛盾纠纷化解机制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不够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完善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矛盾纠纷多元化解机制运行还不够顺畅，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乡与村、科室之间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协调配合还不够紧密。在处理一些复杂疑难矛盾纠纷时，存在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效率不高的现象。</w:t>
      </w:r>
    </w:p>
    <w:p w14:paraId="24DD5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三、下一步工作计划</w:t>
      </w:r>
    </w:p>
    <w:p w14:paraId="29A8E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（一）强化法治教育培训，提高干部法治意识和能力</w:t>
      </w:r>
    </w:p>
    <w:p w14:paraId="721F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加大干部的法治教育培训力度，制定详细的培训计划，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不定期开展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干部法律知识培训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邀请上级法律专业人员开展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专题讲座、案例分析，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不断增强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干部运用法治思维和法治方式解决问题的能力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和水平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1196C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（二）创新法治宣传教育方式，增强法治宣传教育效果</w:t>
      </w:r>
    </w:p>
    <w:p w14:paraId="75CAB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结合本乡实际，创新法治宣传教育方式方法，充分利用新媒体平台开展形式多样、内容丰富的法治宣传教育活动。加强法治文化建设，打造具有本乡特色的法治文化品牌，营造浓厚的法治氛围。</w:t>
      </w:r>
    </w:p>
    <w:p w14:paraId="13EF7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（三）完善矛盾纠纷化解机制，提高矛盾纠纷化解能力</w:t>
      </w:r>
    </w:p>
    <w:p w14:paraId="7455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完善矛盾纠纷多元化解机制，加强各调解主体之间的协调配合，建立健全信息共享、工作联动、协同处置的工作机制。加强对人民调解员的培训和指导，提高人民调解工作水平。积极引导群众通过合法途径解决矛盾纠纷，维护自身合法权益。</w:t>
      </w:r>
    </w:p>
    <w:p w14:paraId="2DEAF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（四）打造法治综合广场，营造良好的法治社会环境</w:t>
      </w:r>
    </w:p>
    <w:p w14:paraId="3C705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色务乡紧紧围绕法治政府建设目标任务，立足现实需求，出实招、下功夫，经乡党政班子成员集体讨论，决定在色务乡搬迁安置点原广场打造以法治、廉洁、民族团结、集体育锻炼、文化娱乐等功能为一体的综合广场，计划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年下半年投入使用。促使群众在健身、休闲娱乐过程中，接受法治文化的熏陶，逐步养成尊法、学法、守法、用法的生活习惯，争做乡村“法律明白人”。</w:t>
      </w:r>
    </w:p>
    <w:p w14:paraId="7AE335A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 w14:paraId="480BA0A4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13452EC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B5C10EF">
      <w:pPr>
        <w:ind w:firstLine="640" w:firstLineChars="200"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中共安多县色务乡委员会</w:t>
      </w:r>
    </w:p>
    <w:p w14:paraId="1E247C31">
      <w:pPr>
        <w:ind w:firstLine="3840" w:firstLineChars="1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安多县色务乡人民政府</w:t>
      </w:r>
    </w:p>
    <w:p w14:paraId="075A1932">
      <w:pPr>
        <w:ind w:firstLine="640" w:firstLineChars="200"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497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8DD6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8DD6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32FE"/>
    <w:rsid w:val="008D313A"/>
    <w:rsid w:val="01255120"/>
    <w:rsid w:val="02184C85"/>
    <w:rsid w:val="03110AEF"/>
    <w:rsid w:val="04BD1B14"/>
    <w:rsid w:val="08A6123D"/>
    <w:rsid w:val="09975029"/>
    <w:rsid w:val="0A047DD5"/>
    <w:rsid w:val="0AEF054D"/>
    <w:rsid w:val="0B666A61"/>
    <w:rsid w:val="0DD8176C"/>
    <w:rsid w:val="0EE04D7C"/>
    <w:rsid w:val="10B353ED"/>
    <w:rsid w:val="11823EC9"/>
    <w:rsid w:val="119F556F"/>
    <w:rsid w:val="12753A2E"/>
    <w:rsid w:val="15B12FCF"/>
    <w:rsid w:val="18544ABD"/>
    <w:rsid w:val="194303E2"/>
    <w:rsid w:val="1D172C79"/>
    <w:rsid w:val="1D484219"/>
    <w:rsid w:val="1D886D0B"/>
    <w:rsid w:val="23166B67"/>
    <w:rsid w:val="24A535BF"/>
    <w:rsid w:val="24F20F0E"/>
    <w:rsid w:val="259E4005"/>
    <w:rsid w:val="282D2989"/>
    <w:rsid w:val="29363ABF"/>
    <w:rsid w:val="29FA0F90"/>
    <w:rsid w:val="2A9C2646"/>
    <w:rsid w:val="2DA52FC1"/>
    <w:rsid w:val="2E8928E3"/>
    <w:rsid w:val="32FA790B"/>
    <w:rsid w:val="33D939C5"/>
    <w:rsid w:val="34331D9A"/>
    <w:rsid w:val="372E04CB"/>
    <w:rsid w:val="39111E53"/>
    <w:rsid w:val="3A577D39"/>
    <w:rsid w:val="3EDE4585"/>
    <w:rsid w:val="3FF83425"/>
    <w:rsid w:val="40580367"/>
    <w:rsid w:val="407C4056"/>
    <w:rsid w:val="41524DB6"/>
    <w:rsid w:val="41907FA4"/>
    <w:rsid w:val="41D030F2"/>
    <w:rsid w:val="42982C9D"/>
    <w:rsid w:val="436870EA"/>
    <w:rsid w:val="43E066A9"/>
    <w:rsid w:val="44917E06"/>
    <w:rsid w:val="496F0BFB"/>
    <w:rsid w:val="4AB56AE2"/>
    <w:rsid w:val="4B315A3D"/>
    <w:rsid w:val="4F1D6A04"/>
    <w:rsid w:val="51E439CD"/>
    <w:rsid w:val="525E35BB"/>
    <w:rsid w:val="52B07B8F"/>
    <w:rsid w:val="52F61A46"/>
    <w:rsid w:val="547F3CBD"/>
    <w:rsid w:val="56C43C09"/>
    <w:rsid w:val="57304E22"/>
    <w:rsid w:val="5E655CD1"/>
    <w:rsid w:val="5EB804F7"/>
    <w:rsid w:val="5ECC7AFE"/>
    <w:rsid w:val="67523430"/>
    <w:rsid w:val="6A3A6264"/>
    <w:rsid w:val="6C5B6CAB"/>
    <w:rsid w:val="74325266"/>
    <w:rsid w:val="744877CF"/>
    <w:rsid w:val="7A97500D"/>
    <w:rsid w:val="7B340AAD"/>
    <w:rsid w:val="7C093CE8"/>
    <w:rsid w:val="7EC00A8B"/>
    <w:rsid w:val="7EC81C39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2852</Words>
  <Characters>2915</Characters>
  <Lines>0</Lines>
  <Paragraphs>0</Paragraphs>
  <TotalTime>36</TotalTime>
  <ScaleCrop>false</ScaleCrop>
  <LinksUpToDate>false</LinksUpToDate>
  <CharactersWithSpaces>2964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2025-05-18T13:53:00Z</dcterms:created>
  <dc:creator>Administrator</dc:creator>
  <cp:lastModifiedBy>Administrator</cp:lastModifiedBy>
  <cp:lastPrinted>2025-05-19T07:42:00Z</cp:lastPrinted>
  <dcterms:modified xsi:type="dcterms:W3CDTF">2025-05-20T03:57:54Z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eyJoZGlkIjoiNTMyMTMyNWM1ZTJhMDBjMmRmZWFhZTk0OWY3NDdhOWYifQ==</vt:lpwstr>
  </property>
  <property fmtid="{D5CDD505-2E9C-101B-9397-08002B2CF9AE}" pid="4" name="ICV">
    <vt:lpwstr>A666FD9CBCC84124AA5E41C8B559DCAE_12</vt:lpwstr>
  </property>
</Properties>
</file>