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E8268">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51A9CC3A">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60050666">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1CA6A3A8">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安多县</w:t>
      </w:r>
      <w:r>
        <w:rPr>
          <w:rFonts w:hint="default" w:ascii="Times New Roman" w:hAnsi="Times New Roman" w:eastAsia="方正小标宋简体" w:cs="Times New Roman"/>
          <w:sz w:val="44"/>
          <w:szCs w:val="44"/>
          <w:lang w:eastAsia="zh-CN"/>
        </w:rPr>
        <w:t>群团工作部</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25</w:t>
      </w:r>
      <w:r>
        <w:rPr>
          <w:rFonts w:hint="default" w:ascii="Times New Roman" w:hAnsi="Times New Roman" w:eastAsia="方正小标宋简体" w:cs="Times New Roman"/>
          <w:sz w:val="44"/>
          <w:szCs w:val="44"/>
        </w:rPr>
        <w:t>年度部门预算</w:t>
      </w:r>
    </w:p>
    <w:p w14:paraId="70084749">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1185CEAF">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783AE322">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35505FFC">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66A481E">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603A2F68">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0D04B194">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0B75AF64">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5BF6C324">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281599A">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10BAD49A">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00F6B698">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437C3C26">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398A3198">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7CE1CE6">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6B679F84">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6753D2AB">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3E9F6471">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  0</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月  </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 xml:space="preserve"> 日</w:t>
      </w:r>
    </w:p>
    <w:p w14:paraId="31B23C3E">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382E447">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71E7C9B0">
      <w:pPr>
        <w:keepNext w:val="0"/>
        <w:keepLines w:val="0"/>
        <w:pageBreakBefore w:val="0"/>
        <w:widowControl/>
        <w:kinsoku/>
        <w:wordWrap/>
        <w:overflowPunct/>
        <w:topLinePunct w:val="0"/>
        <w:bidi w:val="0"/>
        <w:snapToGrid/>
        <w:spacing w:line="576"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14:paraId="44051A30">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p>
    <w:p w14:paraId="5C961FAA">
      <w:pPr>
        <w:keepNext w:val="0"/>
        <w:keepLines w:val="0"/>
        <w:pageBreakBefore w:val="0"/>
        <w:kinsoku/>
        <w:wordWrap/>
        <w:overflowPunct/>
        <w:topLinePunct w:val="0"/>
        <w:bidi w:val="0"/>
        <w:snapToGrid/>
        <w:spacing w:line="576" w:lineRule="exact"/>
        <w:ind w:firstLine="643" w:firstLineChars="200"/>
        <w:jc w:val="left"/>
        <w:textAlignment w:val="auto"/>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第一部分</w:t>
      </w:r>
      <w:r>
        <w:rPr>
          <w:rFonts w:hint="default" w:ascii="Times New Roman" w:hAnsi="Times New Roman" w:eastAsia="方正小标宋简体" w:cs="Times New Roman"/>
          <w:b/>
          <w:sz w:val="32"/>
          <w:szCs w:val="32"/>
          <w:lang w:val="en-US" w:eastAsia="zh-CN"/>
        </w:rPr>
        <w:t xml:space="preserve"> </w:t>
      </w:r>
      <w:r>
        <w:rPr>
          <w:rFonts w:hint="default" w:ascii="Times New Roman" w:hAnsi="Times New Roman" w:eastAsia="方正小标宋简体" w:cs="Times New Roman"/>
          <w:b/>
          <w:sz w:val="32"/>
          <w:szCs w:val="32"/>
          <w:u w:val="none"/>
          <w:lang w:eastAsia="zh-CN"/>
        </w:rPr>
        <w:t>群团工作部</w:t>
      </w:r>
      <w:r>
        <w:rPr>
          <w:rFonts w:hint="default" w:ascii="Times New Roman" w:hAnsi="Times New Roman" w:eastAsia="方正小标宋简体" w:cs="Times New Roman"/>
          <w:b/>
          <w:sz w:val="32"/>
          <w:szCs w:val="32"/>
        </w:rPr>
        <w:t>概况</w:t>
      </w:r>
    </w:p>
    <w:p w14:paraId="09B7296E">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一、主要职责</w:t>
      </w:r>
    </w:p>
    <w:p w14:paraId="57F07088">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二、部门机构设置</w:t>
      </w:r>
    </w:p>
    <w:p w14:paraId="12B3DA8B">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三、部门预算构成</w:t>
      </w:r>
    </w:p>
    <w:p w14:paraId="2F60C4FA">
      <w:pPr>
        <w:keepNext w:val="0"/>
        <w:keepLines w:val="0"/>
        <w:pageBreakBefore w:val="0"/>
        <w:kinsoku/>
        <w:wordWrap/>
        <w:overflowPunct/>
        <w:topLinePunct w:val="0"/>
        <w:bidi w:val="0"/>
        <w:snapToGrid/>
        <w:spacing w:line="576" w:lineRule="exact"/>
        <w:ind w:firstLine="643" w:firstLineChars="200"/>
        <w:jc w:val="left"/>
        <w:textAlignment w:val="auto"/>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第二部分 2025年部门预算表</w:t>
      </w:r>
    </w:p>
    <w:p w14:paraId="07843506">
      <w:pPr>
        <w:keepNext w:val="0"/>
        <w:keepLines w:val="0"/>
        <w:pageBreakBefore w:val="0"/>
        <w:kinsoku/>
        <w:wordWrap/>
        <w:overflowPunct/>
        <w:topLinePunct w:val="0"/>
        <w:bidi w:val="0"/>
        <w:snapToGrid/>
        <w:spacing w:line="576" w:lineRule="exact"/>
        <w:ind w:firstLine="643" w:firstLineChars="200"/>
        <w:jc w:val="left"/>
        <w:textAlignment w:val="auto"/>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第三部分 2025年部门预算情况说明</w:t>
      </w:r>
    </w:p>
    <w:p w14:paraId="2ECB5423">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一、部门预算收支增减变化情况</w:t>
      </w:r>
    </w:p>
    <w:p w14:paraId="2961030D">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二、“三公”经费安排情况</w:t>
      </w:r>
    </w:p>
    <w:p w14:paraId="1C596AB8">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00B31ED4">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四、政府采购情况</w:t>
      </w:r>
    </w:p>
    <w:p w14:paraId="0C60CA3E">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五、国有资产占有使用情况</w:t>
      </w:r>
    </w:p>
    <w:p w14:paraId="5CB228F7">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六、项目绩效目标情况</w:t>
      </w:r>
    </w:p>
    <w:p w14:paraId="2EE88D70">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七、其他需要说明的情况</w:t>
      </w:r>
    </w:p>
    <w:p w14:paraId="0C9F72E8">
      <w:pPr>
        <w:keepNext w:val="0"/>
        <w:keepLines w:val="0"/>
        <w:pageBreakBefore w:val="0"/>
        <w:kinsoku/>
        <w:wordWrap/>
        <w:overflowPunct/>
        <w:topLinePunct w:val="0"/>
        <w:bidi w:val="0"/>
        <w:snapToGrid/>
        <w:spacing w:line="576" w:lineRule="exact"/>
        <w:ind w:firstLine="643" w:firstLineChars="200"/>
        <w:jc w:val="left"/>
        <w:textAlignment w:val="auto"/>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第四部分 名词解释</w:t>
      </w:r>
    </w:p>
    <w:p w14:paraId="392BBD75">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E268793">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7CE6EB32">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DB8B363">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2D7969F2">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15845BAA">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73EF1616">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1F10DC6F">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14:paraId="1FAC5892">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仿宋" w:cs="Times New Roman"/>
          <w:sz w:val="40"/>
          <w:szCs w:val="32"/>
        </w:rPr>
      </w:pPr>
      <w:r>
        <w:rPr>
          <w:rFonts w:hint="default" w:ascii="Times New Roman" w:hAnsi="Times New Roman" w:eastAsia="方正小标宋简体" w:cs="Times New Roman"/>
          <w:sz w:val="40"/>
          <w:szCs w:val="32"/>
        </w:rPr>
        <w:t xml:space="preserve">第一部分 </w:t>
      </w:r>
      <w:r>
        <w:rPr>
          <w:rFonts w:hint="default" w:ascii="Times New Roman" w:hAnsi="Times New Roman" w:eastAsia="方正小标宋简体" w:cs="Times New Roman"/>
          <w:sz w:val="40"/>
          <w:szCs w:val="32"/>
          <w:lang w:eastAsia="zh-CN"/>
        </w:rPr>
        <w:t>群团工作部</w:t>
      </w:r>
      <w:r>
        <w:rPr>
          <w:rFonts w:hint="default" w:ascii="Times New Roman" w:hAnsi="Times New Roman" w:eastAsia="方正小标宋简体" w:cs="Times New Roman"/>
          <w:sz w:val="40"/>
          <w:szCs w:val="32"/>
        </w:rPr>
        <w:t>概况</w:t>
      </w:r>
    </w:p>
    <w:p w14:paraId="42822629">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33D3578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一、主要职能</w:t>
      </w:r>
    </w:p>
    <w:p w14:paraId="2022C78D">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1.依法维护劳动者的合法权益，对企业和个体工商户遵守劳动保障法律法规的情况进行监督。</w:t>
      </w:r>
    </w:p>
    <w:p w14:paraId="346C2D4E">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2.调查研究安全生产工作中涉及职工合法权益的重大问题，参与涉及职工切身利益的有关安全生产政策、措施、制度和法律、法规草案的拟定工作</w:t>
      </w:r>
    </w:p>
    <w:p w14:paraId="017012C2">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3.指导下级工会参加职工劳动安全卫生的培训和教育工作，指导下级工会开展群众性劳动安全卫生活动。</w:t>
      </w:r>
    </w:p>
    <w:p w14:paraId="33E3F5CE">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4.参与较大以上安全生产事故和严重职业危害事故的调查处理，代表职工监督防范和整改措施的落实。</w:t>
      </w:r>
    </w:p>
    <w:p w14:paraId="22BD5D47">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5.参与安全生产检査、涉及职工伤亡事故的调查工作协调有关部门参与生产性建设项目的“三同时”监督工作，并未劳动保护争议提供法律支持。开展预防事故及职业病的</w:t>
      </w:r>
    </w:p>
    <w:p w14:paraId="2400AF8B">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各项群众活动，开展劳动保护教育与培训工作</w:t>
      </w:r>
    </w:p>
    <w:p w14:paraId="5689597D">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6、将宣传贯彻安全生产的法律法规、开展安全生产法制教育、普及安全生产科技知识列入共青团活动计划，并组织实施</w:t>
      </w:r>
    </w:p>
    <w:p w14:paraId="58589BFC">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7.组织共青团员和青年职工参加各种形式的安全生产活动，协助各级党委、政府及其有关部门、生产经营单位做</w:t>
      </w:r>
    </w:p>
    <w:p w14:paraId="09389297">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好安全生产工作</w:t>
      </w:r>
    </w:p>
    <w:p w14:paraId="0DF9BFD0">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8.带领广大共青团员和青年职工配合县安委办学习宣传安全生产知识和安全操作技能，提高防范安全事故的能力。</w:t>
      </w:r>
    </w:p>
    <w:p w14:paraId="4CF91D3D">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9.将宣传贯彻安全生产的法律法规、开展安全生产法制教育、普及安全生产科技知识列入妇联工作计划，并组织实</w:t>
      </w:r>
    </w:p>
    <w:p w14:paraId="039B2F07">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施。</w:t>
      </w:r>
    </w:p>
    <w:p w14:paraId="6F1E6869">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10.把安全生产纳入平安家庭、和谐家庭创建工作内容增强广大妇女、儿童自我保护意识。</w:t>
      </w:r>
    </w:p>
    <w:p w14:paraId="67E4DD5F">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11.协调配合有关部门组织妇女参加各种形式的安全生产活动，协调各级党委、政府及其有关部门、生产经营单位做好安全生产工作。</w:t>
      </w:r>
    </w:p>
    <w:p w14:paraId="2C434FED">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二、部门（单位）机构设置情况</w:t>
      </w:r>
    </w:p>
    <w:p w14:paraId="14DE3F52">
      <w:pPr>
        <w:keepNext w:val="0"/>
        <w:keepLines w:val="0"/>
        <w:pageBreakBefore w:val="0"/>
        <w:kinsoku/>
        <w:wordWrap/>
        <w:overflowPunct/>
        <w:topLinePunct w:val="0"/>
        <w:bidi w:val="0"/>
        <w:snapToGrid/>
        <w:spacing w:line="576" w:lineRule="exact"/>
        <w:ind w:firstLine="640" w:firstLineChars="200"/>
        <w:textAlignment w:val="auto"/>
        <w:rPr>
          <w:rFonts w:hint="eastAsia" w:eastAsia="方正仿宋简体" w:cs="Times New Roman"/>
          <w:color w:val="0000FF"/>
          <w:sz w:val="32"/>
          <w:szCs w:val="32"/>
          <w:lang w:eastAsia="zh-CN"/>
        </w:rPr>
      </w:pPr>
      <w:r>
        <w:rPr>
          <w:rFonts w:hint="eastAsia" w:eastAsia="方正仿宋简体" w:cs="Times New Roman"/>
          <w:color w:val="auto"/>
          <w:sz w:val="32"/>
          <w:szCs w:val="32"/>
          <w:lang w:eastAsia="zh-CN"/>
        </w:rPr>
        <w:t>群团工作部下设工会、团委、妇联</w:t>
      </w:r>
      <w:r>
        <w:rPr>
          <w:rFonts w:hint="eastAsia" w:eastAsia="方正仿宋简体" w:cs="Times New Roman"/>
          <w:color w:val="auto"/>
          <w:sz w:val="32"/>
          <w:szCs w:val="32"/>
          <w:lang w:val="en-US" w:eastAsia="zh-CN"/>
        </w:rPr>
        <w:t>3</w:t>
      </w:r>
      <w:r>
        <w:rPr>
          <w:rFonts w:hint="eastAsia" w:eastAsia="方正仿宋简体" w:cs="Times New Roman"/>
          <w:color w:val="auto"/>
          <w:sz w:val="32"/>
          <w:szCs w:val="32"/>
          <w:lang w:eastAsia="zh-CN"/>
        </w:rPr>
        <w:t>个办公室。</w:t>
      </w:r>
    </w:p>
    <w:p w14:paraId="60B3223C">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三、部门预算构成</w:t>
      </w:r>
    </w:p>
    <w:p w14:paraId="6B6BEDED">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西藏安多县</w:t>
      </w:r>
      <w:r>
        <w:rPr>
          <w:rFonts w:hint="default" w:ascii="Times New Roman" w:hAnsi="Times New Roman" w:eastAsia="方正仿宋简体" w:cs="Times New Roman"/>
          <w:sz w:val="32"/>
          <w:szCs w:val="32"/>
          <w:lang w:eastAsia="zh-CN"/>
        </w:rPr>
        <w:t>群团工作部</w:t>
      </w:r>
      <w:r>
        <w:rPr>
          <w:rFonts w:hint="default" w:ascii="Times New Roman" w:hAnsi="Times New Roman" w:eastAsia="方正仿宋简体" w:cs="Times New Roman"/>
          <w:sz w:val="32"/>
          <w:szCs w:val="32"/>
        </w:rPr>
        <w:t>属一级预算单位，无二级预算单位。</w:t>
      </w:r>
    </w:p>
    <w:p w14:paraId="5684C53A">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559CA358">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3316BC96">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3DF25FEB">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E126CD6">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3E8E51AE">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BCBBE56">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1B8A7950">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658DD442">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5C41A12C">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4A36389">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11C24121">
      <w:pPr>
        <w:keepNext w:val="0"/>
        <w:keepLines w:val="0"/>
        <w:pageBreakBefore w:val="0"/>
        <w:numPr>
          <w:ilvl w:val="0"/>
          <w:numId w:val="1"/>
        </w:numPr>
        <w:kinsoku/>
        <w:wordWrap/>
        <w:overflowPunct/>
        <w:topLinePunct w:val="0"/>
        <w:bidi w:val="0"/>
        <w:snapToGrid/>
        <w:spacing w:line="576" w:lineRule="exact"/>
        <w:ind w:firstLine="0" w:firstLineChars="0"/>
        <w:jc w:val="center"/>
        <w:textAlignment w:val="auto"/>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2025年部门预算表</w:t>
      </w:r>
    </w:p>
    <w:p w14:paraId="0A46A16A">
      <w:pPr>
        <w:keepNext w:val="0"/>
        <w:keepLines w:val="0"/>
        <w:pageBreakBefore w:val="0"/>
        <w:numPr>
          <w:ilvl w:val="0"/>
          <w:numId w:val="0"/>
        </w:numPr>
        <w:kinsoku/>
        <w:wordWrap/>
        <w:overflowPunct/>
        <w:topLinePunct w:val="0"/>
        <w:bidi w:val="0"/>
        <w:snapToGrid/>
        <w:spacing w:line="576" w:lineRule="exact"/>
        <w:jc w:val="both"/>
        <w:textAlignment w:val="auto"/>
        <w:rPr>
          <w:rFonts w:hint="default" w:ascii="Times New Roman" w:hAnsi="Times New Roman" w:eastAsia="方正小标宋简体" w:cs="Times New Roman"/>
          <w:sz w:val="40"/>
          <w:szCs w:val="32"/>
        </w:rPr>
      </w:pPr>
    </w:p>
    <w:p w14:paraId="6F5EF6CB">
      <w:pPr>
        <w:keepNext w:val="0"/>
        <w:keepLines w:val="0"/>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w:t>
      </w:r>
      <w:r>
        <w:rPr>
          <w:rFonts w:hint="default" w:ascii="Times New Roman" w:hAnsi="Times New Roman" w:eastAsia="方正小标宋简体" w:cs="Times New Roman"/>
          <w:sz w:val="32"/>
          <w:szCs w:val="32"/>
        </w:rPr>
        <w:t>表格详见附件</w:t>
      </w:r>
      <w:r>
        <w:rPr>
          <w:rFonts w:hint="default" w:ascii="Times New Roman" w:hAnsi="Times New Roman" w:eastAsia="方正小标宋简体" w:cs="Times New Roman"/>
          <w:sz w:val="32"/>
          <w:szCs w:val="32"/>
          <w:lang w:eastAsia="zh-CN"/>
        </w:rPr>
        <w:t>）</w:t>
      </w:r>
    </w:p>
    <w:p w14:paraId="36D5ED83">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51E305EC">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3825B36C">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FBD88B5">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5E1DA4C8">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C09C3D8">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1A2AECCE">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D678225">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27B1F033">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2EEF6CF8">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2C99AF5C">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35308C97">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0EEC6359">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69BB5E70">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17831EC9">
      <w:pPr>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仿宋" w:cs="Times New Roman"/>
          <w:sz w:val="32"/>
          <w:szCs w:val="32"/>
        </w:rPr>
      </w:pPr>
    </w:p>
    <w:p w14:paraId="40A42916">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1B0F7BA6">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7F9AE69C">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49DBE8D5">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7F38EF65">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1468AB21">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22AD6E1F">
      <w:pPr>
        <w:keepNext w:val="0"/>
        <w:keepLines w:val="0"/>
        <w:pageBreakBefore w:val="0"/>
        <w:widowControl w:val="0"/>
        <w:kinsoku/>
        <w:wordWrap/>
        <w:overflowPunct/>
        <w:topLinePunct w:val="0"/>
        <w:bidi w:val="0"/>
        <w:snapToGrid/>
        <w:spacing w:line="576" w:lineRule="exact"/>
        <w:ind w:left="0" w:leftChars="0"/>
        <w:jc w:val="center"/>
        <w:textAlignment w:val="auto"/>
        <w:rPr>
          <w:rFonts w:hint="default" w:ascii="Times New Roman" w:hAnsi="Times New Roman" w:eastAsia="黑体" w:cs="Times New Roman"/>
          <w:sz w:val="32"/>
          <w:szCs w:val="32"/>
        </w:rPr>
      </w:pPr>
    </w:p>
    <w:p w14:paraId="703EA8B9">
      <w:pPr>
        <w:keepNext w:val="0"/>
        <w:keepLines w:val="0"/>
        <w:pageBreakBefore w:val="0"/>
        <w:widowControl w:val="0"/>
        <w:numPr>
          <w:ilvl w:val="0"/>
          <w:numId w:val="2"/>
        </w:numPr>
        <w:kinsoku/>
        <w:wordWrap/>
        <w:overflowPunct/>
        <w:topLinePunct w:val="0"/>
        <w:bidi w:val="0"/>
        <w:snapToGrid/>
        <w:spacing w:line="576" w:lineRule="exact"/>
        <w:ind w:left="0" w:leftChars="0"/>
        <w:jc w:val="center"/>
        <w:textAlignment w:val="auto"/>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2025年部门预算情况说明</w:t>
      </w:r>
    </w:p>
    <w:p w14:paraId="44E2944D">
      <w:pPr>
        <w:keepNext w:val="0"/>
        <w:keepLines w:val="0"/>
        <w:pageBreakBefore w:val="0"/>
        <w:widowControl w:val="0"/>
        <w:numPr>
          <w:ilvl w:val="0"/>
          <w:numId w:val="0"/>
        </w:numPr>
        <w:kinsoku/>
        <w:wordWrap/>
        <w:overflowPunct/>
        <w:topLinePunct w:val="0"/>
        <w:bidi w:val="0"/>
        <w:snapToGrid/>
        <w:spacing w:line="576" w:lineRule="exact"/>
        <w:jc w:val="both"/>
        <w:textAlignment w:val="auto"/>
        <w:rPr>
          <w:rFonts w:hint="default" w:ascii="Times New Roman" w:hAnsi="Times New Roman" w:eastAsia="方正小标宋简体" w:cs="Times New Roman"/>
          <w:sz w:val="40"/>
          <w:szCs w:val="32"/>
        </w:rPr>
      </w:pPr>
    </w:p>
    <w:p w14:paraId="6FD99B18">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一、部门预算收支增减变化情况</w:t>
      </w:r>
    </w:p>
    <w:p w14:paraId="5A5596C3">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 w:cs="Times New Roman"/>
          <w:sz w:val="32"/>
          <w:szCs w:val="32"/>
        </w:rPr>
        <w:t>2025年本部门</w:t>
      </w:r>
      <w:r>
        <w:rPr>
          <w:rFonts w:hint="default" w:ascii="Times New Roman" w:hAnsi="Times New Roman" w:eastAsia="仿宋" w:cs="Times New Roman"/>
          <w:sz w:val="32"/>
          <w:szCs w:val="32"/>
          <w:lang w:eastAsia="zh-CN"/>
        </w:rPr>
        <w:t>财政拨款预算指标总计</w:t>
      </w:r>
      <w:r>
        <w:rPr>
          <w:rFonts w:hint="default" w:ascii="Times New Roman" w:hAnsi="Times New Roman" w:eastAsia="仿宋" w:cs="Times New Roman"/>
          <w:sz w:val="32"/>
          <w:szCs w:val="32"/>
          <w:lang w:val="en-US" w:eastAsia="zh-CN"/>
        </w:rPr>
        <w:t>445.31万元，其中本年</w:t>
      </w:r>
      <w:r>
        <w:rPr>
          <w:rFonts w:hint="default" w:ascii="Times New Roman" w:hAnsi="Times New Roman" w:eastAsia="仿宋" w:cs="Times New Roman"/>
          <w:sz w:val="32"/>
          <w:szCs w:val="32"/>
        </w:rPr>
        <w:t>收入</w:t>
      </w:r>
      <w:r>
        <w:rPr>
          <w:rFonts w:hint="default" w:ascii="Times New Roman" w:hAnsi="Times New Roman" w:eastAsia="仿宋" w:cs="Times New Roman"/>
          <w:sz w:val="32"/>
          <w:szCs w:val="32"/>
          <w:lang w:val="en-US" w:eastAsia="zh-CN"/>
        </w:rPr>
        <w:t>415.58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上年结转</w:t>
      </w:r>
      <w:r>
        <w:rPr>
          <w:rFonts w:hint="default" w:ascii="Times New Roman" w:hAnsi="Times New Roman" w:eastAsia="仿宋" w:cs="Times New Roman"/>
          <w:sz w:val="32"/>
          <w:szCs w:val="32"/>
          <w:lang w:val="en-US" w:eastAsia="zh-CN"/>
        </w:rPr>
        <w:t>30.73万元，本年收入</w:t>
      </w:r>
      <w:r>
        <w:rPr>
          <w:rFonts w:hint="default" w:ascii="Times New Roman" w:hAnsi="Times New Roman" w:eastAsia="仿宋" w:cs="Times New Roman"/>
          <w:sz w:val="32"/>
          <w:szCs w:val="32"/>
        </w:rPr>
        <w:t>比上年增加</w:t>
      </w:r>
      <w:r>
        <w:rPr>
          <w:rFonts w:hint="default" w:ascii="Times New Roman" w:hAnsi="Times New Roman" w:eastAsia="仿宋" w:cs="Times New Roman"/>
          <w:sz w:val="32"/>
          <w:szCs w:val="32"/>
          <w:lang w:val="en-US" w:eastAsia="zh-CN"/>
        </w:rPr>
        <w:t>20.83</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5.28%</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增加项目</w:t>
      </w:r>
      <w:r>
        <w:rPr>
          <w:rFonts w:hint="default" w:ascii="Times New Roman" w:hAnsi="Times New Roman" w:eastAsia="仿宋" w:cs="Times New Roman"/>
          <w:sz w:val="32"/>
          <w:szCs w:val="32"/>
        </w:rPr>
        <w:t>；支出预算446.31万元，比上年增加</w:t>
      </w:r>
      <w:r>
        <w:rPr>
          <w:rFonts w:hint="default" w:ascii="Times New Roman" w:hAnsi="Times New Roman" w:eastAsia="仿宋" w:cs="Times New Roman"/>
          <w:sz w:val="32"/>
          <w:szCs w:val="32"/>
          <w:lang w:val="en-US" w:eastAsia="zh-CN"/>
        </w:rPr>
        <w:t>51.56</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13.06%</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增加项目及</w:t>
      </w:r>
      <w:r>
        <w:rPr>
          <w:rFonts w:hint="default" w:ascii="Times New Roman" w:hAnsi="Times New Roman" w:eastAsia="仿宋" w:cs="Times New Roman"/>
          <w:sz w:val="32"/>
          <w:szCs w:val="32"/>
          <w:lang w:val="en-US" w:eastAsia="zh-CN"/>
        </w:rPr>
        <w:t>上年结转结余30.73万元</w:t>
      </w:r>
      <w:r>
        <w:rPr>
          <w:rFonts w:hint="default" w:ascii="Times New Roman" w:hAnsi="Times New Roman" w:eastAsia="仿宋" w:cs="Times New Roman"/>
          <w:sz w:val="32"/>
          <w:szCs w:val="32"/>
        </w:rPr>
        <w:t>。</w:t>
      </w:r>
    </w:p>
    <w:p w14:paraId="518D7A3D">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二、“三公”经费安排情况</w:t>
      </w:r>
    </w:p>
    <w:p w14:paraId="4321E464">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2025年本部门财政拨款安排“三公”经费</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为进一步</w:t>
      </w:r>
      <w:r>
        <w:rPr>
          <w:rFonts w:hint="default" w:ascii="Times New Roman" w:hAnsi="Times New Roman" w:eastAsia="仿宋" w:cs="Times New Roman"/>
          <w:sz w:val="32"/>
          <w:szCs w:val="32"/>
        </w:rPr>
        <w:t>厉行节约过紧日子，压减“三公”经费，</w:t>
      </w:r>
      <w:r>
        <w:rPr>
          <w:rFonts w:hint="default" w:ascii="Times New Roman" w:hAnsi="Times New Roman" w:eastAsia="仿宋" w:cs="Times New Roman"/>
          <w:sz w:val="32"/>
          <w:szCs w:val="32"/>
          <w:lang w:eastAsia="zh-CN"/>
        </w:rPr>
        <w:t>自</w:t>
      </w:r>
      <w:r>
        <w:rPr>
          <w:rFonts w:hint="default" w:ascii="Times New Roman" w:hAnsi="Times New Roman" w:eastAsia="仿宋" w:cs="Times New Roman"/>
          <w:sz w:val="32"/>
          <w:szCs w:val="32"/>
          <w:lang w:val="en-US" w:eastAsia="zh-CN"/>
        </w:rPr>
        <w:t>2025年起公车运行预算至单位</w:t>
      </w:r>
      <w:r>
        <w:rPr>
          <w:rFonts w:hint="default" w:ascii="Times New Roman" w:hAnsi="Times New Roman" w:eastAsia="仿宋" w:cs="Times New Roman"/>
          <w:sz w:val="32"/>
          <w:szCs w:val="32"/>
        </w:rPr>
        <w:t>。其中：因公出国（境）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上年及本年无该项预算</w:t>
      </w:r>
      <w:r>
        <w:rPr>
          <w:rFonts w:hint="default" w:ascii="Times New Roman" w:hAnsi="Times New Roman" w:eastAsia="仿宋" w:cs="Times New Roman"/>
          <w:sz w:val="32"/>
          <w:szCs w:val="32"/>
        </w:rPr>
        <w:t>；公务用车购置及运行维护费</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万元（公务用车购置费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万元；公务用车运行维护费</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为进一步</w:t>
      </w:r>
      <w:r>
        <w:rPr>
          <w:rFonts w:hint="default" w:ascii="Times New Roman" w:hAnsi="Times New Roman" w:eastAsia="仿宋" w:cs="Times New Roman"/>
          <w:sz w:val="32"/>
          <w:szCs w:val="32"/>
        </w:rPr>
        <w:t>厉行节约过紧日子，压减“三公”经费，</w:t>
      </w:r>
      <w:r>
        <w:rPr>
          <w:rFonts w:hint="default" w:ascii="Times New Roman" w:hAnsi="Times New Roman" w:eastAsia="仿宋" w:cs="Times New Roman"/>
          <w:sz w:val="32"/>
          <w:szCs w:val="32"/>
          <w:lang w:eastAsia="zh-CN"/>
        </w:rPr>
        <w:t>自</w:t>
      </w:r>
      <w:r>
        <w:rPr>
          <w:rFonts w:hint="default" w:ascii="Times New Roman" w:hAnsi="Times New Roman" w:eastAsia="仿宋" w:cs="Times New Roman"/>
          <w:sz w:val="32"/>
          <w:szCs w:val="32"/>
          <w:lang w:val="en-US" w:eastAsia="zh-CN"/>
        </w:rPr>
        <w:t>2025年起公车运行预算至单位</w:t>
      </w:r>
      <w:r>
        <w:rPr>
          <w:rFonts w:hint="default" w:ascii="Times New Roman" w:hAnsi="Times New Roman" w:eastAsia="仿宋" w:cs="Times New Roman"/>
          <w:sz w:val="32"/>
          <w:szCs w:val="32"/>
        </w:rPr>
        <w:t>；公务接待费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公务接待工作有政府统一进行，资金预算未安排至本单位</w:t>
      </w:r>
      <w:r>
        <w:rPr>
          <w:rFonts w:hint="default" w:ascii="Times New Roman" w:hAnsi="Times New Roman" w:eastAsia="仿宋" w:cs="Times New Roman"/>
          <w:sz w:val="32"/>
          <w:szCs w:val="32"/>
        </w:rPr>
        <w:t>。2025年因公出国（境）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eastAsia="zh-CN"/>
        </w:rPr>
        <w:t>。</w:t>
      </w:r>
    </w:p>
    <w:p w14:paraId="1C4F6923">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14:paraId="4D520E1D">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2024年，本部门机关运行经费安排</w:t>
      </w:r>
      <w:r>
        <w:rPr>
          <w:rFonts w:hint="default" w:ascii="Times New Roman" w:hAnsi="Times New Roman" w:eastAsia="仿宋" w:cs="Times New Roman"/>
          <w:sz w:val="32"/>
          <w:szCs w:val="32"/>
          <w:lang w:val="en-US" w:eastAsia="zh-CN"/>
        </w:rPr>
        <w:t>26.73</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9.21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default" w:ascii="Times New Roman" w:hAnsi="Times New Roman" w:eastAsia="仿宋" w:cs="Times New Roman"/>
          <w:sz w:val="32"/>
          <w:szCs w:val="32"/>
          <w:lang w:val="en-US" w:eastAsia="zh-CN"/>
        </w:rPr>
        <w:t>52.57</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增加用氧补助经费、公务用车维护经费</w:t>
      </w:r>
      <w:r>
        <w:rPr>
          <w:rFonts w:hint="default" w:ascii="Times New Roman" w:hAnsi="Times New Roman" w:eastAsia="仿宋" w:cs="Times New Roman"/>
          <w:sz w:val="32"/>
          <w:szCs w:val="32"/>
        </w:rPr>
        <w:t>。</w:t>
      </w:r>
    </w:p>
    <w:p w14:paraId="3EE8313B">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四、政府采购情况</w:t>
      </w:r>
    </w:p>
    <w:p w14:paraId="0EF79AD6">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2025年本部门</w:t>
      </w:r>
      <w:r>
        <w:rPr>
          <w:rFonts w:hint="default" w:ascii="Times New Roman" w:hAnsi="Times New Roman" w:eastAsia="仿宋" w:cs="Times New Roman"/>
          <w:sz w:val="32"/>
          <w:szCs w:val="32"/>
          <w:lang w:eastAsia="zh-CN"/>
        </w:rPr>
        <w:t>无</w:t>
      </w:r>
      <w:r>
        <w:rPr>
          <w:rFonts w:hint="default" w:ascii="Times New Roman" w:hAnsi="Times New Roman" w:eastAsia="仿宋" w:cs="Times New Roman"/>
          <w:sz w:val="32"/>
          <w:szCs w:val="32"/>
        </w:rPr>
        <w:t>政府采购安排</w:t>
      </w:r>
      <w:r>
        <w:rPr>
          <w:rFonts w:hint="default" w:ascii="Times New Roman" w:hAnsi="Times New Roman" w:eastAsia="仿宋" w:cs="Times New Roman"/>
          <w:sz w:val="32"/>
          <w:szCs w:val="32"/>
          <w:lang w:eastAsia="zh-CN"/>
        </w:rPr>
        <w:t>资金。</w:t>
      </w:r>
    </w:p>
    <w:p w14:paraId="1538B930">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五、国有资产占有使用情况</w:t>
      </w:r>
    </w:p>
    <w:p w14:paraId="1A05B654">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截至2025年1月20日，本部门固定资产构成情况为：房屋</w:t>
      </w:r>
      <w:r>
        <w:rPr>
          <w:rFonts w:hint="eastAsia" w:eastAsia="仿宋" w:cs="Times New Roman"/>
          <w:sz w:val="32"/>
          <w:szCs w:val="32"/>
          <w:lang w:val="en-US" w:eastAsia="zh-CN"/>
        </w:rPr>
        <w:t>0</w:t>
      </w:r>
      <w:r>
        <w:rPr>
          <w:rFonts w:hint="default" w:ascii="Times New Roman" w:hAnsi="Times New Roman" w:eastAsia="仿宋" w:cs="Times New Roman"/>
          <w:sz w:val="32"/>
          <w:szCs w:val="32"/>
        </w:rPr>
        <w:t>平方米，车辆</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辆，单价在50万元以上通用设备</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台（套），单价在100万元以上专用设备</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台（套）。本年度拟购置固定资产</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p>
    <w:p w14:paraId="3B3128F8">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六、项目绩效目标情况</w:t>
      </w:r>
    </w:p>
    <w:p w14:paraId="5094E395">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2025年，实行绩效目标管理项目</w:t>
      </w:r>
      <w:r>
        <w:rPr>
          <w:rFonts w:hint="default"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个，资金</w:t>
      </w:r>
      <w:r>
        <w:rPr>
          <w:rFonts w:hint="default" w:ascii="Times New Roman" w:hAnsi="Times New Roman" w:eastAsia="仿宋" w:cs="Times New Roman"/>
          <w:sz w:val="32"/>
          <w:szCs w:val="32"/>
          <w:lang w:val="en-US" w:eastAsia="zh-CN"/>
        </w:rPr>
        <w:t>415.58</w:t>
      </w:r>
      <w:r>
        <w:rPr>
          <w:rFonts w:hint="default" w:ascii="Times New Roman" w:hAnsi="Times New Roman" w:eastAsia="仿宋" w:cs="Times New Roman"/>
          <w:sz w:val="32"/>
          <w:szCs w:val="32"/>
        </w:rPr>
        <w:t>万元，实现项目支出绩效目标管理全覆盖。其中本部门重点项目绩效目标情况如下：</w:t>
      </w:r>
      <w:bookmarkStart w:id="0" w:name="_GoBack"/>
      <w:bookmarkEnd w:id="0"/>
    </w:p>
    <w:p w14:paraId="2F77BF6C">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详见部门预算表附表</w:t>
      </w:r>
      <w:r>
        <w:rPr>
          <w:rFonts w:hint="default" w:ascii="Times New Roman" w:hAnsi="Times New Roman" w:eastAsia="仿宋" w:cs="Times New Roman"/>
          <w:sz w:val="32"/>
          <w:szCs w:val="32"/>
          <w:lang w:val="en-US" w:eastAsia="zh-CN"/>
        </w:rPr>
        <w:t>4-9</w:t>
      </w:r>
    </w:p>
    <w:p w14:paraId="5401EF2E">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七、其他需要说明的情况</w:t>
      </w:r>
    </w:p>
    <w:p w14:paraId="2D2998CF">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我</w:t>
      </w:r>
      <w:r>
        <w:rPr>
          <w:rFonts w:hint="default" w:ascii="Times New Roman" w:hAnsi="Times New Roman" w:eastAsia="方正仿宋简体" w:cs="Times New Roman"/>
          <w:sz w:val="32"/>
          <w:szCs w:val="32"/>
          <w:lang w:val="en-US" w:eastAsia="zh-CN"/>
        </w:rPr>
        <w:t>单位截止目前、无政府债务。</w:t>
      </w:r>
      <w:r>
        <w:rPr>
          <w:rFonts w:hint="default" w:ascii="Times New Roman" w:hAnsi="Times New Roman" w:eastAsia="方正小标宋简体" w:cs="Times New Roman"/>
          <w:sz w:val="32"/>
          <w:szCs w:val="32"/>
        </w:rPr>
        <w:br w:type="page"/>
      </w:r>
    </w:p>
    <w:p w14:paraId="74FA648B">
      <w:pPr>
        <w:keepNext w:val="0"/>
        <w:keepLines w:val="0"/>
        <w:pageBreakBefore w:val="0"/>
        <w:widowControl/>
        <w:kinsoku/>
        <w:wordWrap/>
        <w:overflowPunct/>
        <w:topLinePunct w:val="0"/>
        <w:bidi w:val="0"/>
        <w:snapToGrid/>
        <w:spacing w:line="576"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sz w:val="40"/>
          <w:szCs w:val="32"/>
        </w:rPr>
        <w:t>第四部分  名词解释</w:t>
      </w:r>
    </w:p>
    <w:p w14:paraId="15963DC6">
      <w:pPr>
        <w:keepNext w:val="0"/>
        <w:keepLines w:val="0"/>
        <w:pageBreakBefore w:val="0"/>
        <w:kinsoku/>
        <w:wordWrap/>
        <w:overflowPunct/>
        <w:topLinePunct w:val="0"/>
        <w:bidi w:val="0"/>
        <w:snapToGrid/>
        <w:spacing w:line="576" w:lineRule="exact"/>
        <w:ind w:firstLine="640" w:firstLineChars="200"/>
        <w:jc w:val="center"/>
        <w:textAlignment w:val="auto"/>
        <w:rPr>
          <w:rFonts w:hint="default" w:ascii="Times New Roman" w:hAnsi="Times New Roman" w:eastAsia="黑体" w:cs="Times New Roman"/>
          <w:sz w:val="32"/>
          <w:szCs w:val="32"/>
        </w:rPr>
      </w:pPr>
    </w:p>
    <w:p w14:paraId="737D5FD9">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 w:cs="Times New Roman"/>
          <w:sz w:val="32"/>
          <w:szCs w:val="32"/>
        </w:rPr>
        <w:t>指预算单位从本级财政部门取得的财政预算资金收入。</w:t>
      </w:r>
    </w:p>
    <w:p w14:paraId="63EF76E4">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w:t>
      </w:r>
    </w:p>
    <w:p w14:paraId="6A241D2C">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三、经营收入：</w:t>
      </w:r>
      <w:r>
        <w:rPr>
          <w:rFonts w:hint="default" w:ascii="Times New Roman" w:hAnsi="Times New Roman" w:eastAsia="仿宋" w:cs="Times New Roman"/>
          <w:sz w:val="32"/>
          <w:szCs w:val="32"/>
        </w:rPr>
        <w:t>指事业单位在专业业务活动及其辅助活动之外开展非独立核算经营活动取得的收入。</w:t>
      </w:r>
    </w:p>
    <w:p w14:paraId="611926D1">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四、其他收入：</w:t>
      </w:r>
      <w:r>
        <w:rPr>
          <w:rFonts w:hint="default" w:ascii="Times New Roman" w:hAnsi="Times New Roman" w:eastAsia="仿宋" w:cs="Times New Roman"/>
          <w:sz w:val="32"/>
          <w:szCs w:val="32"/>
        </w:rPr>
        <w:t>指除上述“财政拨款收入”、“事业收入”、“经营收入”等以外的收入。主要是非本级财政拨款、存款利息收入、事业单位固定资产出租收入等。</w:t>
      </w:r>
    </w:p>
    <w:p w14:paraId="668F9E04">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五、上年结转：</w:t>
      </w:r>
      <w:r>
        <w:rPr>
          <w:rFonts w:hint="default" w:ascii="Times New Roman" w:hAnsi="Times New Roman" w:eastAsia="仿宋" w:cs="Times New Roman"/>
          <w:sz w:val="32"/>
          <w:szCs w:val="32"/>
        </w:rPr>
        <w:t>指以前年度安排、结转到本年仍按原规定用途继续使用的资金。</w:t>
      </w:r>
    </w:p>
    <w:p w14:paraId="7AF59877">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六、用事业基金弥补收支差额：</w:t>
      </w:r>
      <w:r>
        <w:rPr>
          <w:rFonts w:hint="default" w:ascii="Times New Roman" w:hAnsi="Times New Roman" w:eastAsia="仿宋" w:cs="Times New Roman"/>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BCFF20D">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七、基本支出：</w:t>
      </w:r>
      <w:r>
        <w:rPr>
          <w:rFonts w:hint="default" w:ascii="Times New Roman" w:hAnsi="Times New Roman" w:eastAsia="仿宋" w:cs="Times New Roman"/>
          <w:sz w:val="32"/>
          <w:szCs w:val="32"/>
        </w:rPr>
        <w:t>指为保障机构正常运转、完成日常工作任务而发生的人员支出和公用支出。</w:t>
      </w:r>
    </w:p>
    <w:p w14:paraId="7BF2E758">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八、项目支出：</w:t>
      </w:r>
      <w:r>
        <w:rPr>
          <w:rFonts w:hint="default" w:ascii="Times New Roman" w:hAnsi="Times New Roman" w:eastAsia="仿宋" w:cs="Times New Roman"/>
          <w:sz w:val="32"/>
          <w:szCs w:val="32"/>
        </w:rPr>
        <w:t>指在基本支出之外为完成特定行政任务或事业发展目标所发生的支出。</w:t>
      </w:r>
    </w:p>
    <w:p w14:paraId="62091FE0">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九、经营支出：</w:t>
      </w:r>
      <w:r>
        <w:rPr>
          <w:rFonts w:hint="default" w:ascii="Times New Roman" w:hAnsi="Times New Roman" w:eastAsia="仿宋" w:cs="Times New Roman"/>
          <w:sz w:val="32"/>
          <w:szCs w:val="32"/>
        </w:rPr>
        <w:t>指事业单位在专业业务活动及其辅助活动之外开展非独立核算经营活动发生的支出。</w:t>
      </w:r>
    </w:p>
    <w:p w14:paraId="29E3F415">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十、行政经费（机关运行经费）：</w:t>
      </w:r>
      <w:r>
        <w:rPr>
          <w:rFonts w:hint="default" w:ascii="Times New Roman" w:hAnsi="Times New Roman" w:eastAsia="仿宋" w:cs="Times New Roman"/>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645155FA">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十一、“三公”经费：</w:t>
      </w:r>
      <w:r>
        <w:rPr>
          <w:rFonts w:hint="default" w:ascii="Times New Roman" w:hAnsi="Times New Roman" w:eastAsia="仿宋" w:cs="Times New Roman"/>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25A5891E">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十二、重点项目：</w:t>
      </w:r>
      <w:r>
        <w:rPr>
          <w:rFonts w:hint="default" w:ascii="Times New Roman" w:hAnsi="Times New Roman" w:eastAsia="仿宋" w:cs="Times New Roman"/>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6E27D733">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仿宋" w:cs="Times New Roman"/>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9D25">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6</w:t>
    </w:r>
    <w:r>
      <w:rPr>
        <w:rStyle w:val="7"/>
        <w:sz w:val="24"/>
        <w:szCs w:val="24"/>
      </w:rPr>
      <w:fldChar w:fldCharType="end"/>
    </w:r>
  </w:p>
  <w:p w14:paraId="53D3AC0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5194">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B20EEB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71F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1D333"/>
    <w:multiLevelType w:val="singleLevel"/>
    <w:tmpl w:val="C4A1D333"/>
    <w:lvl w:ilvl="0" w:tentative="0">
      <w:start w:val="3"/>
      <w:numFmt w:val="chineseCounting"/>
      <w:suff w:val="space"/>
      <w:lvlText w:val="第%1部分"/>
      <w:lvlJc w:val="left"/>
      <w:rPr>
        <w:rFonts w:hint="eastAsia"/>
      </w:rPr>
    </w:lvl>
  </w:abstractNum>
  <w:abstractNum w:abstractNumId="1">
    <w:nsid w:val="78930424"/>
    <w:multiLevelType w:val="singleLevel"/>
    <w:tmpl w:val="7893042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zMxMDhmNDdiYWYwOTNlMTdjY2U2ZDBkOTMxZWUifQ=="/>
  </w:docVars>
  <w:rsids>
    <w:rsidRoot w:val="00643004"/>
    <w:rsid w:val="00015A4C"/>
    <w:rsid w:val="00041C59"/>
    <w:rsid w:val="00043AA8"/>
    <w:rsid w:val="00086B54"/>
    <w:rsid w:val="00096F91"/>
    <w:rsid w:val="000A1AFA"/>
    <w:rsid w:val="000A6427"/>
    <w:rsid w:val="000B56C3"/>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2352D"/>
    <w:rsid w:val="002249BA"/>
    <w:rsid w:val="00230405"/>
    <w:rsid w:val="002423E1"/>
    <w:rsid w:val="00255CD4"/>
    <w:rsid w:val="00266E39"/>
    <w:rsid w:val="00285201"/>
    <w:rsid w:val="00296132"/>
    <w:rsid w:val="002B4B50"/>
    <w:rsid w:val="002E550F"/>
    <w:rsid w:val="0031342C"/>
    <w:rsid w:val="003139C9"/>
    <w:rsid w:val="00322979"/>
    <w:rsid w:val="00323C72"/>
    <w:rsid w:val="00343F94"/>
    <w:rsid w:val="003646E6"/>
    <w:rsid w:val="00371B62"/>
    <w:rsid w:val="00371BC9"/>
    <w:rsid w:val="003A4455"/>
    <w:rsid w:val="003A4970"/>
    <w:rsid w:val="003B05AB"/>
    <w:rsid w:val="003B0BE0"/>
    <w:rsid w:val="003C07B1"/>
    <w:rsid w:val="003E21A4"/>
    <w:rsid w:val="003E2D5B"/>
    <w:rsid w:val="00406A38"/>
    <w:rsid w:val="00416109"/>
    <w:rsid w:val="00416E50"/>
    <w:rsid w:val="0042253D"/>
    <w:rsid w:val="004573CF"/>
    <w:rsid w:val="004773FB"/>
    <w:rsid w:val="00480381"/>
    <w:rsid w:val="004816D0"/>
    <w:rsid w:val="00490C1D"/>
    <w:rsid w:val="004970A2"/>
    <w:rsid w:val="004A1155"/>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C6640"/>
    <w:rsid w:val="005D584E"/>
    <w:rsid w:val="005E5236"/>
    <w:rsid w:val="005F2417"/>
    <w:rsid w:val="005F2DA3"/>
    <w:rsid w:val="00611AA9"/>
    <w:rsid w:val="00640514"/>
    <w:rsid w:val="00641243"/>
    <w:rsid w:val="00643004"/>
    <w:rsid w:val="00653B9E"/>
    <w:rsid w:val="006637A9"/>
    <w:rsid w:val="0067255B"/>
    <w:rsid w:val="006A497D"/>
    <w:rsid w:val="006B2F00"/>
    <w:rsid w:val="006B41A1"/>
    <w:rsid w:val="006B5ECC"/>
    <w:rsid w:val="006C4305"/>
    <w:rsid w:val="006D5592"/>
    <w:rsid w:val="00737A27"/>
    <w:rsid w:val="007529D0"/>
    <w:rsid w:val="00753C16"/>
    <w:rsid w:val="00774009"/>
    <w:rsid w:val="007A00E8"/>
    <w:rsid w:val="007A6ED2"/>
    <w:rsid w:val="007C5A03"/>
    <w:rsid w:val="008001B3"/>
    <w:rsid w:val="0080401E"/>
    <w:rsid w:val="00813A99"/>
    <w:rsid w:val="008314A5"/>
    <w:rsid w:val="00835E1D"/>
    <w:rsid w:val="008468ED"/>
    <w:rsid w:val="0085478E"/>
    <w:rsid w:val="00855287"/>
    <w:rsid w:val="0086465E"/>
    <w:rsid w:val="00871235"/>
    <w:rsid w:val="00875CA7"/>
    <w:rsid w:val="008770A2"/>
    <w:rsid w:val="00885072"/>
    <w:rsid w:val="00885889"/>
    <w:rsid w:val="00890723"/>
    <w:rsid w:val="0089630C"/>
    <w:rsid w:val="008A6719"/>
    <w:rsid w:val="008B4D47"/>
    <w:rsid w:val="008C1F95"/>
    <w:rsid w:val="008D39A8"/>
    <w:rsid w:val="008E0590"/>
    <w:rsid w:val="008E490F"/>
    <w:rsid w:val="008F37FF"/>
    <w:rsid w:val="008F5CAA"/>
    <w:rsid w:val="00936D24"/>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A5639"/>
    <w:rsid w:val="00CC47BA"/>
    <w:rsid w:val="00CD29AE"/>
    <w:rsid w:val="00CE472E"/>
    <w:rsid w:val="00CE7C4E"/>
    <w:rsid w:val="00CF4F30"/>
    <w:rsid w:val="00D22EF7"/>
    <w:rsid w:val="00D25868"/>
    <w:rsid w:val="00D442FA"/>
    <w:rsid w:val="00D632F1"/>
    <w:rsid w:val="00D8669F"/>
    <w:rsid w:val="00DB0231"/>
    <w:rsid w:val="00DC0879"/>
    <w:rsid w:val="00E03AF9"/>
    <w:rsid w:val="00E104B4"/>
    <w:rsid w:val="00E115D0"/>
    <w:rsid w:val="00E233E9"/>
    <w:rsid w:val="00E32EC0"/>
    <w:rsid w:val="00E4103C"/>
    <w:rsid w:val="00E42C47"/>
    <w:rsid w:val="00E60FF8"/>
    <w:rsid w:val="00E63DBC"/>
    <w:rsid w:val="00E6642D"/>
    <w:rsid w:val="00E745C7"/>
    <w:rsid w:val="00E768B6"/>
    <w:rsid w:val="00E82B77"/>
    <w:rsid w:val="00E904F2"/>
    <w:rsid w:val="00EA3A2B"/>
    <w:rsid w:val="00EB5EFC"/>
    <w:rsid w:val="00EB7129"/>
    <w:rsid w:val="00EC3348"/>
    <w:rsid w:val="00EE0A42"/>
    <w:rsid w:val="00F00FDB"/>
    <w:rsid w:val="00F06045"/>
    <w:rsid w:val="00F07089"/>
    <w:rsid w:val="00F21E99"/>
    <w:rsid w:val="00F4454F"/>
    <w:rsid w:val="00F50409"/>
    <w:rsid w:val="00F96845"/>
    <w:rsid w:val="00FB0A9E"/>
    <w:rsid w:val="0130156C"/>
    <w:rsid w:val="01A2200E"/>
    <w:rsid w:val="075B5D40"/>
    <w:rsid w:val="0F020616"/>
    <w:rsid w:val="103E7FAD"/>
    <w:rsid w:val="154C1F45"/>
    <w:rsid w:val="182C2DE0"/>
    <w:rsid w:val="1BAC4954"/>
    <w:rsid w:val="1D353DB1"/>
    <w:rsid w:val="1F7C2880"/>
    <w:rsid w:val="24DF08B0"/>
    <w:rsid w:val="267E42D5"/>
    <w:rsid w:val="26E72F9D"/>
    <w:rsid w:val="27440052"/>
    <w:rsid w:val="283D7C94"/>
    <w:rsid w:val="28EF5E90"/>
    <w:rsid w:val="2DDC01BB"/>
    <w:rsid w:val="2E427D13"/>
    <w:rsid w:val="2EDF5746"/>
    <w:rsid w:val="31BD2FCF"/>
    <w:rsid w:val="32672F3B"/>
    <w:rsid w:val="334E659E"/>
    <w:rsid w:val="34B018F7"/>
    <w:rsid w:val="35A85D44"/>
    <w:rsid w:val="36233B88"/>
    <w:rsid w:val="37C8447C"/>
    <w:rsid w:val="380A05F1"/>
    <w:rsid w:val="3A683CF4"/>
    <w:rsid w:val="3B390F77"/>
    <w:rsid w:val="42530DE6"/>
    <w:rsid w:val="43F14C4C"/>
    <w:rsid w:val="44FD43EB"/>
    <w:rsid w:val="48F84495"/>
    <w:rsid w:val="4ADF3B5F"/>
    <w:rsid w:val="4AF313B8"/>
    <w:rsid w:val="4C246EEF"/>
    <w:rsid w:val="4E2B0E69"/>
    <w:rsid w:val="51AE36CB"/>
    <w:rsid w:val="524C5358"/>
    <w:rsid w:val="52A31916"/>
    <w:rsid w:val="531B1B40"/>
    <w:rsid w:val="58931CDB"/>
    <w:rsid w:val="65A11CE5"/>
    <w:rsid w:val="68A24D93"/>
    <w:rsid w:val="6A455C86"/>
    <w:rsid w:val="6E815D78"/>
    <w:rsid w:val="7CFE5817"/>
    <w:rsid w:val="7F565496"/>
    <w:rsid w:val="7FBB3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Words>
  <Characters>42</Characters>
  <Lines>27</Lines>
  <Paragraphs>7</Paragraphs>
  <TotalTime>96</TotalTime>
  <ScaleCrop>false</ScaleCrop>
  <LinksUpToDate>false</LinksUpToDate>
  <CharactersWithSpaces>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༼LA^v^་འཛོམ་^v^JI༽</cp:lastModifiedBy>
  <cp:lastPrinted>2025-02-13T08:58:00Z</cp:lastPrinted>
  <dcterms:modified xsi:type="dcterms:W3CDTF">2025-02-13T10:35:01Z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B616CAF5A1F6493DBC7EDC5BAC6DCA49_13</vt:lpwstr>
  </property>
  <property fmtid="{D5CDD505-2E9C-101B-9397-08002B2CF9AE}" pid="4" name="KSOTemplateDocerSaveRecord">
    <vt:lpwstr>eyJoZGlkIjoiMzVkMDVmODc5MTQ5OTQ1YTIxZmJkZTkwYTUzNzI3N2MiLCJ1c2VySWQiOiIzNzYzOTI1MzgifQ==</vt:lpwstr>
  </property>
</Properties>
</file>