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cs="宋体"/>
          <w:color w:val="000000"/>
          <w:kern w:val="0"/>
          <w:sz w:val="32"/>
          <w:szCs w:val="32"/>
        </w:rPr>
        <w:t>2024年部门预算信息公开模板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玛曲乡（部门）2024年度部门预算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2024年2月28日</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玛曲乡（部门）概况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玛曲乡（部门）2024年度部门预算明细表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玛曲乡（部门）2024年度部门预算数据分析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玛曲乡（部门）概况</w:t>
      </w:r>
    </w:p>
    <w:p>
      <w:pPr>
        <w:rPr>
          <w:rFonts w:ascii="仿宋" w:hAnsi="仿宋" w:eastAsia="仿宋"/>
          <w:sz w:val="32"/>
          <w:szCs w:val="32"/>
        </w:rPr>
      </w:pPr>
    </w:p>
    <w:p>
      <w:pPr>
        <w:ind w:firstLine="480" w:firstLineChars="150"/>
        <w:rPr>
          <w:rFonts w:ascii="黑体" w:hAnsi="黑体" w:eastAsia="黑体"/>
          <w:sz w:val="32"/>
          <w:szCs w:val="32"/>
        </w:rPr>
      </w:pPr>
      <w:r>
        <w:rPr>
          <w:rFonts w:hint="eastAsia" w:ascii="黑体" w:hAnsi="黑体" w:eastAsia="黑体"/>
          <w:sz w:val="32"/>
          <w:szCs w:val="32"/>
        </w:rPr>
        <w:t>一、主要职能</w:t>
      </w:r>
    </w:p>
    <w:p>
      <w:pPr>
        <w:ind w:firstLine="480" w:firstLineChars="150"/>
        <w:rPr>
          <w:rFonts w:ascii="仿宋" w:hAnsi="仿宋" w:eastAsia="仿宋"/>
          <w:sz w:val="32"/>
          <w:szCs w:val="32"/>
        </w:rPr>
      </w:pPr>
      <w:r>
        <w:rPr>
          <w:rFonts w:hint="eastAsia" w:ascii="仿宋" w:hAnsi="仿宋" w:eastAsia="仿宋"/>
          <w:sz w:val="32"/>
          <w:szCs w:val="32"/>
        </w:rPr>
        <w:t>玛曲乡为处理上级党委、政府交办的所有工作，主要履行下列职责：</w:t>
      </w:r>
    </w:p>
    <w:p>
      <w:pPr>
        <w:spacing w:line="576" w:lineRule="exact"/>
        <w:ind w:firstLine="640"/>
        <w:rPr>
          <w:rFonts w:ascii="仿宋" w:hAnsi="仿宋" w:eastAsia="仿宋"/>
          <w:sz w:val="32"/>
          <w:szCs w:val="32"/>
        </w:rPr>
      </w:pPr>
      <w:r>
        <w:rPr>
          <w:rFonts w:hint="eastAsia" w:ascii="仿宋" w:hAnsi="仿宋" w:eastAsia="仿宋"/>
          <w:sz w:val="32"/>
          <w:szCs w:val="32"/>
        </w:rPr>
        <w:t>（一）党政综合办公室（便民服务中心）</w:t>
      </w:r>
    </w:p>
    <w:p>
      <w:pPr>
        <w:spacing w:line="576" w:lineRule="exact"/>
        <w:ind w:firstLine="640"/>
        <w:rPr>
          <w:rFonts w:ascii="仿宋" w:hAnsi="仿宋" w:eastAsia="仿宋"/>
          <w:sz w:val="32"/>
          <w:szCs w:val="32"/>
        </w:rPr>
      </w:pPr>
      <w:r>
        <w:rPr>
          <w:rFonts w:hint="eastAsia" w:ascii="仿宋" w:hAnsi="仿宋" w:eastAsia="仿宋"/>
          <w:sz w:val="32"/>
          <w:szCs w:val="32"/>
        </w:rPr>
        <w:t xml:space="preserve">1.责任分工 </w:t>
      </w:r>
    </w:p>
    <w:p>
      <w:pPr>
        <w:spacing w:line="576" w:lineRule="exact"/>
        <w:ind w:firstLine="640"/>
        <w:rPr>
          <w:rFonts w:ascii="仿宋" w:hAnsi="仿宋" w:eastAsia="仿宋"/>
          <w:sz w:val="32"/>
          <w:szCs w:val="32"/>
        </w:rPr>
      </w:pPr>
      <w:r>
        <w:rPr>
          <w:rFonts w:hint="eastAsia" w:ascii="仿宋" w:hAnsi="仿宋" w:eastAsia="仿宋"/>
          <w:sz w:val="32"/>
          <w:szCs w:val="32"/>
        </w:rPr>
        <w:t>主要负责乡党委、政府机关日常工作，党建、意识形态领域管理和综合协调、人事管理及保障工作。包括：党的建设、组织、宣传、党风廉政建设主体责任落实、共青团、工会、文秘、机要、保密、信息、会务、档案管理、后勤保障、干部、人才、人事、机构编制、老干部等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2.对口联系县（中）直单位</w:t>
      </w:r>
    </w:p>
    <w:p>
      <w:pPr>
        <w:spacing w:line="576" w:lineRule="exact"/>
        <w:ind w:firstLine="642"/>
        <w:rPr>
          <w:rFonts w:ascii="仿宋" w:hAnsi="仿宋" w:eastAsia="仿宋"/>
          <w:sz w:val="32"/>
          <w:szCs w:val="32"/>
        </w:rPr>
      </w:pPr>
      <w:r>
        <w:rPr>
          <w:rFonts w:hint="eastAsia" w:ascii="仿宋" w:hAnsi="仿宋" w:eastAsia="仿宋"/>
          <w:sz w:val="32"/>
          <w:szCs w:val="32"/>
        </w:rPr>
        <w:t>县委办（保密办）、县政府办、县委组织部、县委宣传部、县行政审批局、县强基办、县机关工委、县工会、县团委。</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（二）经济发展办公室（农牧综合服务中心）</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1.责任分工</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主要负责经济社会发展、乡村振兴、生态环境保护等领域工作。包括：国防动员、项目建设、产业发展、生态环境保护、自然资源管理、道路养护、水利规划建设（河长制落实）、动物防疫及检疫、牲畜病虫害监测防治、农业农村、脱贫巩固、乡村振兴、科技技术、网络通讯、招商引资、统计等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2.对口联系县（中）直单位</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驻军部队、县武装部、发改委、县自然资源局、那曲市生态环境局安多县分局、县住建局、县交通局、县水利局、县农业农村局、县乡村振兴局、县科技局、县经信局、县商务局、县统计局。</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（三）平安建设办公室</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1.责任分工</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主要负责平安建设和社会治理等工作。包括：政法、应急管理、安全生产、矛盾纠纷调解处理和社区矫正、信访化解、社会治安综合治理、平安建设、民族统战、各种自然灾害和突发性、群体性事件应急方案、预案的制定和执行等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2.对口联系县（中）直单位</w:t>
      </w:r>
    </w:p>
    <w:p>
      <w:pPr>
        <w:ind w:firstLine="640" w:firstLineChars="200"/>
        <w:rPr>
          <w:rFonts w:ascii="仿宋" w:hAnsi="仿宋" w:eastAsia="仿宋"/>
          <w:sz w:val="32"/>
          <w:szCs w:val="32"/>
        </w:rPr>
      </w:pPr>
      <w:r>
        <w:rPr>
          <w:rFonts w:hint="eastAsia" w:ascii="仿宋" w:hAnsi="仿宋" w:eastAsia="仿宋"/>
          <w:sz w:val="32"/>
          <w:szCs w:val="32"/>
        </w:rPr>
        <w:t>县委统战部、县政法委、县公安局、县法院、县检察院、县司法局、县民宗局、县应急管理局、县信访局、县国安办、县气象局。</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（四）社会保障办公室（文化综合服务中心、卫生院）</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1.责任分工</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主要负责社会事务处置和民生保障等领域工作。包括：人力资源和社会保障、转移就业、民政、医疗保障、教育、体育、文化、旅游、卫生健康、市场监督管理、残疾人权益保障、退役军人服务、兵役工作等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2.对口联系县（中）直单位</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县民政局、县医保局、县人社局、县文旅局、县卫健委、县教育局、县市监局、县财政局、县审计局、县退役军人事务局、县妇联。</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（五）财务所</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1.责任分工：主要负责财务、审计相关工作。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2.对口联系：县财政局、审计局。</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（六）综合行政执法队</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1.责任分工：主要负责综合行政执法领域工作。包括：对辖区内卫生健康、文化广电旅游、人力资源和社会保障、城乡建设管理、应急管理、农业农村、生态环境保护等方面的行政处罚及相关行政强制和监督检查。</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2.对口联系县（中）直单位</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县城管综合执法局、县卫健委、县市监局、县文旅局、县自然资源局、那曲市生态环境局安多县分局、县应急管理局等具有行政执法权的相关单位。</w:t>
      </w:r>
    </w:p>
    <w:p>
      <w:pPr>
        <w:ind w:firstLine="640" w:firstLineChars="200"/>
        <w:rPr>
          <w:rFonts w:ascii="黑体" w:hAnsi="黑体" w:eastAsia="黑体"/>
          <w:sz w:val="32"/>
          <w:szCs w:val="32"/>
        </w:rPr>
      </w:pPr>
      <w:r>
        <w:rPr>
          <w:rFonts w:hint="eastAsia" w:ascii="黑体" w:hAnsi="黑体" w:eastAsia="黑体"/>
          <w:sz w:val="32"/>
          <w:szCs w:val="32"/>
        </w:rPr>
        <w:t>二、部门预算单位构成</w:t>
      </w:r>
    </w:p>
    <w:p>
      <w:pPr>
        <w:spacing w:line="576" w:lineRule="exact"/>
        <w:ind w:firstLine="640"/>
        <w:rPr>
          <w:rFonts w:ascii="仿宋" w:hAnsi="仿宋" w:eastAsia="仿宋"/>
          <w:sz w:val="32"/>
          <w:szCs w:val="32"/>
        </w:rPr>
      </w:pPr>
      <w:r>
        <w:rPr>
          <w:rFonts w:hint="eastAsia" w:ascii="仿宋" w:hAnsi="仿宋" w:eastAsia="仿宋"/>
          <w:sz w:val="32"/>
          <w:szCs w:val="32"/>
        </w:rPr>
        <w:t>玛曲乡部门内设书记、乡长1个办公室、3个会议室、平安建设办、社会事务办公室、党政综合办公室（便民服务中心）、奋进办公室、财政所，人大办、纪委办公室共9个办公室、下设卫生院、农牧综合服务中心 、文化服务中心3个二级预算单位。</w:t>
      </w:r>
    </w:p>
    <w:p>
      <w:pPr>
        <w:rPr>
          <w:rFonts w:ascii="仿宋" w:hAnsi="仿宋" w:eastAsia="仿宋"/>
          <w:sz w:val="32"/>
          <w:szCs w:val="32"/>
        </w:rPr>
      </w:pPr>
      <w:r>
        <w:rPr>
          <w:rFonts w:hint="eastAsia" w:ascii="仿宋" w:hAnsi="仿宋" w:eastAsia="仿宋"/>
          <w:sz w:val="32"/>
          <w:szCs w:val="32"/>
        </w:rPr>
        <w:t>纳入本部门2024年部门预算编制范围的二级预算单位包括：本单位是一级预算单位，二级预算单位：卫生院、农牧综合服务中心、文化站服务中心。</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玛曲乡（部门）2024年度预算明细表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玛曲乡（部门）2024年度部门预算数据分析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一、2024年部门收支总表的说明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2024年收支总预算</w:t>
      </w:r>
      <w:r>
        <w:rPr>
          <w:rFonts w:hint="eastAsia" w:ascii="仿宋" w:hAnsi="仿宋" w:eastAsia="仿宋"/>
          <w:sz w:val="32"/>
          <w:szCs w:val="32"/>
          <w:u w:val="single"/>
        </w:rPr>
        <w:t>2503.42</w:t>
      </w:r>
      <w:r>
        <w:rPr>
          <w:rFonts w:hint="eastAsia" w:ascii="仿宋" w:hAnsi="仿宋" w:eastAsia="仿宋"/>
          <w:sz w:val="32"/>
          <w:szCs w:val="32"/>
        </w:rPr>
        <w:t>万元。收入包括：一般公共预算拨款收入2503.42万元。支出包括：一般公共服务支出1855.82万元、科学技术支出66.56万元、文化旅游体育与传媒支出12.60万元、社会保障和就业支出230.38万元、卫生健康支出123.70万元、节能环保支出21.60万元、农林水支出52.36万元、住房保障支出140.40万元。</w:t>
      </w:r>
    </w:p>
    <w:p>
      <w:pPr>
        <w:ind w:firstLine="640" w:firstLineChars="200"/>
        <w:rPr>
          <w:rFonts w:ascii="黑体" w:hAnsi="黑体" w:eastAsia="黑体"/>
          <w:sz w:val="32"/>
          <w:szCs w:val="32"/>
        </w:rPr>
      </w:pPr>
      <w:r>
        <w:rPr>
          <w:rFonts w:hint="eastAsia" w:ascii="黑体" w:hAnsi="黑体" w:eastAsia="黑体"/>
          <w:sz w:val="32"/>
          <w:szCs w:val="32"/>
        </w:rPr>
        <w:t>二、2024年度部门收入总表的说明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2503.42</w:t>
      </w:r>
      <w:r>
        <w:rPr>
          <w:rFonts w:hint="eastAsia" w:ascii="仿宋" w:hAnsi="仿宋" w:eastAsia="仿宋"/>
          <w:sz w:val="32"/>
          <w:szCs w:val="32"/>
        </w:rPr>
        <w:t>万元，其中：上年结转</w:t>
      </w:r>
      <w:r>
        <w:rPr>
          <w:rFonts w:hint="eastAsia" w:ascii="仿宋" w:hAnsi="仿宋" w:eastAsia="仿宋"/>
          <w:sz w:val="32"/>
          <w:szCs w:val="32"/>
          <w:u w:val="single"/>
        </w:rPr>
        <w:t>0</w:t>
      </w:r>
      <w:r>
        <w:rPr>
          <w:rFonts w:hint="eastAsia" w:ascii="仿宋" w:hAnsi="仿宋" w:eastAsia="仿宋"/>
          <w:sz w:val="32"/>
          <w:szCs w:val="32"/>
        </w:rPr>
        <w:t>万元， 占</w:t>
      </w:r>
      <w:r>
        <w:rPr>
          <w:rFonts w:hint="eastAsia" w:ascii="仿宋" w:hAnsi="仿宋" w:eastAsia="仿宋"/>
          <w:sz w:val="32"/>
          <w:szCs w:val="32"/>
          <w:u w:val="single"/>
        </w:rPr>
        <w:t>0</w:t>
      </w:r>
      <w:r>
        <w:rPr>
          <w:rFonts w:hint="eastAsia" w:ascii="仿宋" w:hAnsi="仿宋" w:eastAsia="仿宋"/>
          <w:sz w:val="32"/>
          <w:szCs w:val="32"/>
        </w:rPr>
        <w:t>%；一般公共预算拨款收入2503.42万元，占</w:t>
      </w:r>
      <w:r>
        <w:rPr>
          <w:rFonts w:hint="eastAsia" w:ascii="仿宋" w:hAnsi="仿宋" w:eastAsia="仿宋"/>
          <w:sz w:val="32"/>
          <w:szCs w:val="32"/>
          <w:u w:val="single"/>
        </w:rPr>
        <w:t>100</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三、2024年部门支出总表的说明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2024年支出预算</w:t>
      </w:r>
      <w:r>
        <w:rPr>
          <w:rFonts w:hint="eastAsia" w:ascii="仿宋" w:hAnsi="仿宋" w:eastAsia="仿宋"/>
          <w:sz w:val="32"/>
          <w:szCs w:val="32"/>
          <w:u w:val="single"/>
        </w:rPr>
        <w:t>2503.42</w:t>
      </w:r>
      <w:r>
        <w:rPr>
          <w:rFonts w:hint="eastAsia" w:ascii="仿宋" w:hAnsi="仿宋" w:eastAsia="仿宋"/>
          <w:sz w:val="32"/>
          <w:szCs w:val="32"/>
        </w:rPr>
        <w:t>万元，其中：基本支出</w:t>
      </w:r>
      <w:r>
        <w:rPr>
          <w:rFonts w:hint="eastAsia" w:ascii="仿宋" w:hAnsi="仿宋" w:eastAsia="仿宋"/>
          <w:sz w:val="32"/>
          <w:szCs w:val="32"/>
          <w:u w:val="single"/>
        </w:rPr>
        <w:t>2243.07</w:t>
      </w:r>
      <w:r>
        <w:rPr>
          <w:rFonts w:hint="eastAsia" w:ascii="仿宋" w:hAnsi="仿宋" w:eastAsia="仿宋"/>
          <w:sz w:val="32"/>
          <w:szCs w:val="32"/>
        </w:rPr>
        <w:t>万元，占</w:t>
      </w:r>
      <w:r>
        <w:rPr>
          <w:rFonts w:hint="eastAsia" w:ascii="仿宋" w:hAnsi="仿宋" w:eastAsia="仿宋"/>
          <w:sz w:val="32"/>
          <w:szCs w:val="32"/>
          <w:u w:val="single"/>
        </w:rPr>
        <w:t>89.60</w:t>
      </w:r>
      <w:r>
        <w:rPr>
          <w:rFonts w:hint="eastAsia" w:ascii="仿宋" w:hAnsi="仿宋" w:eastAsia="仿宋"/>
          <w:sz w:val="32"/>
          <w:szCs w:val="32"/>
        </w:rPr>
        <w:t>%；项目支出</w:t>
      </w:r>
      <w:r>
        <w:rPr>
          <w:rFonts w:hint="eastAsia" w:ascii="仿宋" w:hAnsi="仿宋" w:eastAsia="仿宋"/>
          <w:sz w:val="32"/>
          <w:szCs w:val="32"/>
          <w:u w:val="single"/>
        </w:rPr>
        <w:t>260.36</w:t>
      </w:r>
      <w:r>
        <w:rPr>
          <w:rFonts w:hint="eastAsia" w:ascii="仿宋" w:hAnsi="仿宋" w:eastAsia="仿宋"/>
          <w:sz w:val="32"/>
          <w:szCs w:val="32"/>
        </w:rPr>
        <w:t>万元，占</w:t>
      </w:r>
      <w:r>
        <w:rPr>
          <w:rFonts w:hint="eastAsia" w:ascii="仿宋" w:hAnsi="仿宋" w:eastAsia="仿宋"/>
          <w:sz w:val="32"/>
          <w:szCs w:val="32"/>
          <w:u w:val="single"/>
        </w:rPr>
        <w:t>10.40</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四、2024年财政拨款收支总表的说明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2024年财政拨款收支总预算</w:t>
      </w:r>
      <w:r>
        <w:rPr>
          <w:rFonts w:hint="eastAsia" w:ascii="仿宋" w:hAnsi="仿宋" w:eastAsia="仿宋"/>
          <w:sz w:val="32"/>
          <w:szCs w:val="32"/>
          <w:u w:val="single"/>
        </w:rPr>
        <w:t>2503.42</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u w:val="single"/>
        </w:rPr>
        <w:t>2503.42</w:t>
      </w:r>
      <w:r>
        <w:rPr>
          <w:rFonts w:hint="eastAsia" w:ascii="仿宋" w:hAnsi="仿宋" w:eastAsia="仿宋"/>
          <w:sz w:val="32"/>
          <w:szCs w:val="32"/>
        </w:rPr>
        <w:t>万元、上年结转</w:t>
      </w:r>
      <w:r>
        <w:rPr>
          <w:rFonts w:hint="eastAsia" w:ascii="仿宋" w:hAnsi="仿宋" w:eastAsia="仿宋"/>
          <w:sz w:val="32"/>
          <w:szCs w:val="32"/>
          <w:u w:val="single"/>
        </w:rPr>
        <w:t>0.00</w:t>
      </w:r>
      <w:r>
        <w:rPr>
          <w:rFonts w:hint="eastAsia" w:ascii="仿宋" w:hAnsi="仿宋" w:eastAsia="仿宋"/>
          <w:sz w:val="32"/>
          <w:szCs w:val="32"/>
        </w:rPr>
        <w:t>万元；支出包括：一般公共服务支出</w:t>
      </w:r>
      <w:r>
        <w:rPr>
          <w:rFonts w:hint="eastAsia" w:ascii="仿宋" w:hAnsi="仿宋" w:eastAsia="仿宋"/>
          <w:sz w:val="32"/>
          <w:szCs w:val="32"/>
          <w:u w:val="single"/>
        </w:rPr>
        <w:t>1855.82</w:t>
      </w:r>
      <w:r>
        <w:rPr>
          <w:rFonts w:hint="eastAsia" w:ascii="仿宋" w:hAnsi="仿宋" w:eastAsia="仿宋"/>
          <w:sz w:val="32"/>
          <w:szCs w:val="32"/>
        </w:rPr>
        <w:t>万元、科学技术支出</w:t>
      </w:r>
      <w:r>
        <w:rPr>
          <w:rFonts w:hint="eastAsia" w:ascii="仿宋" w:hAnsi="仿宋" w:eastAsia="仿宋"/>
          <w:sz w:val="32"/>
          <w:szCs w:val="32"/>
          <w:u w:val="single"/>
        </w:rPr>
        <w:t>66.56</w:t>
      </w:r>
      <w:r>
        <w:rPr>
          <w:rFonts w:hint="eastAsia" w:ascii="仿宋" w:hAnsi="仿宋" w:eastAsia="仿宋"/>
          <w:sz w:val="32"/>
          <w:szCs w:val="32"/>
        </w:rPr>
        <w:t>万元、文化旅游体育与传媒支出</w:t>
      </w:r>
      <w:r>
        <w:rPr>
          <w:rFonts w:hint="eastAsia" w:ascii="仿宋" w:hAnsi="仿宋" w:eastAsia="仿宋"/>
          <w:sz w:val="32"/>
          <w:szCs w:val="32"/>
          <w:u w:val="single"/>
        </w:rPr>
        <w:t>12.60</w:t>
      </w:r>
      <w:r>
        <w:rPr>
          <w:rFonts w:hint="eastAsia" w:ascii="仿宋" w:hAnsi="仿宋" w:eastAsia="仿宋"/>
          <w:sz w:val="32"/>
          <w:szCs w:val="32"/>
        </w:rPr>
        <w:t>万元、社会保障和就业支出</w:t>
      </w:r>
      <w:r>
        <w:rPr>
          <w:rFonts w:hint="eastAsia" w:ascii="仿宋" w:hAnsi="仿宋" w:eastAsia="仿宋"/>
          <w:sz w:val="32"/>
          <w:szCs w:val="32"/>
          <w:u w:val="single"/>
        </w:rPr>
        <w:t>230.38</w:t>
      </w:r>
      <w:r>
        <w:rPr>
          <w:rFonts w:hint="eastAsia" w:ascii="仿宋" w:hAnsi="仿宋" w:eastAsia="仿宋"/>
          <w:sz w:val="32"/>
          <w:szCs w:val="32"/>
        </w:rPr>
        <w:t>万元、卫生健康支出</w:t>
      </w:r>
      <w:r>
        <w:rPr>
          <w:rFonts w:hint="eastAsia" w:ascii="仿宋" w:hAnsi="仿宋" w:eastAsia="仿宋"/>
          <w:sz w:val="32"/>
          <w:szCs w:val="32"/>
          <w:u w:val="single"/>
        </w:rPr>
        <w:t>123.70</w:t>
      </w:r>
      <w:r>
        <w:rPr>
          <w:rFonts w:hint="eastAsia" w:ascii="仿宋" w:hAnsi="仿宋" w:eastAsia="仿宋"/>
          <w:sz w:val="32"/>
          <w:szCs w:val="32"/>
        </w:rPr>
        <w:t>万元、节能环保支出21.60万元、农林水支出52.36万元、住房保障支出</w:t>
      </w:r>
      <w:r>
        <w:rPr>
          <w:rFonts w:hint="eastAsia" w:ascii="仿宋" w:hAnsi="仿宋" w:eastAsia="仿宋"/>
          <w:sz w:val="32"/>
          <w:szCs w:val="32"/>
          <w:u w:val="single"/>
        </w:rPr>
        <w:t>140.40</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五、2024年一般公共预算支出表的说明</w:t>
      </w:r>
    </w:p>
    <w:p>
      <w:pPr>
        <w:ind w:firstLine="480" w:firstLineChars="150"/>
        <w:rPr>
          <w:rFonts w:ascii="仿宋" w:hAnsi="仿宋" w:eastAsia="仿宋"/>
          <w:sz w:val="32"/>
          <w:szCs w:val="32"/>
        </w:rPr>
      </w:pPr>
      <w:r>
        <w:rPr>
          <w:rFonts w:hint="eastAsia" w:ascii="仿宋" w:hAnsi="仿宋" w:eastAsia="仿宋"/>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2024年一般公共预算当年拨款2503.42万元,比2023年执行数减少1989.39万元，主要原因：人员调整变动，项目减少。</w:t>
      </w:r>
    </w:p>
    <w:p>
      <w:pPr>
        <w:ind w:firstLine="480" w:firstLineChars="15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rPr>
        <w:t>1855.82</w:t>
      </w:r>
      <w:r>
        <w:rPr>
          <w:rFonts w:hint="eastAsia" w:ascii="仿宋" w:hAnsi="仿宋" w:eastAsia="仿宋"/>
          <w:sz w:val="32"/>
          <w:szCs w:val="32"/>
        </w:rPr>
        <w:t>万元，占</w:t>
      </w:r>
      <w:r>
        <w:rPr>
          <w:rFonts w:hint="eastAsia" w:ascii="仿宋" w:hAnsi="仿宋" w:eastAsia="仿宋"/>
          <w:sz w:val="32"/>
          <w:szCs w:val="32"/>
          <w:u w:val="single"/>
        </w:rPr>
        <w:t>74.13</w:t>
      </w:r>
      <w:r>
        <w:rPr>
          <w:rFonts w:hint="eastAsia" w:ascii="仿宋" w:hAnsi="仿宋" w:eastAsia="仿宋"/>
          <w:sz w:val="32"/>
          <w:szCs w:val="32"/>
        </w:rPr>
        <w:t>%；科学技术支出</w:t>
      </w:r>
      <w:r>
        <w:rPr>
          <w:rFonts w:hint="eastAsia" w:ascii="仿宋" w:hAnsi="仿宋" w:eastAsia="仿宋"/>
          <w:sz w:val="32"/>
          <w:szCs w:val="32"/>
          <w:u w:val="single"/>
        </w:rPr>
        <w:t>66.56</w:t>
      </w:r>
      <w:r>
        <w:rPr>
          <w:rFonts w:hint="eastAsia" w:ascii="仿宋" w:hAnsi="仿宋" w:eastAsia="仿宋"/>
          <w:sz w:val="32"/>
          <w:szCs w:val="32"/>
        </w:rPr>
        <w:t>万元，占</w:t>
      </w:r>
      <w:r>
        <w:rPr>
          <w:rFonts w:hint="eastAsia" w:ascii="仿宋" w:hAnsi="仿宋" w:eastAsia="仿宋"/>
          <w:sz w:val="32"/>
          <w:szCs w:val="32"/>
          <w:u w:val="single"/>
        </w:rPr>
        <w:t>2.66</w:t>
      </w:r>
      <w:r>
        <w:rPr>
          <w:rFonts w:hint="eastAsia" w:ascii="仿宋" w:hAnsi="仿宋" w:eastAsia="仿宋"/>
          <w:sz w:val="32"/>
          <w:szCs w:val="32"/>
        </w:rPr>
        <w:t xml:space="preserve">%，文化旅游体育与传媒支出 </w:t>
      </w:r>
      <w:r>
        <w:rPr>
          <w:rFonts w:hint="eastAsia" w:ascii="仿宋" w:hAnsi="仿宋" w:eastAsia="仿宋"/>
          <w:sz w:val="32"/>
          <w:szCs w:val="32"/>
          <w:u w:val="single"/>
        </w:rPr>
        <w:t>12.60</w:t>
      </w:r>
      <w:r>
        <w:rPr>
          <w:rFonts w:hint="eastAsia" w:ascii="仿宋" w:hAnsi="仿宋" w:eastAsia="仿宋"/>
          <w:sz w:val="32"/>
          <w:szCs w:val="32"/>
        </w:rPr>
        <w:t>万元，占</w:t>
      </w:r>
      <w:r>
        <w:rPr>
          <w:rFonts w:hint="eastAsia" w:ascii="仿宋" w:hAnsi="仿宋" w:eastAsia="仿宋"/>
          <w:sz w:val="32"/>
          <w:szCs w:val="32"/>
          <w:u w:val="single"/>
        </w:rPr>
        <w:t>0.50</w:t>
      </w:r>
      <w:r>
        <w:rPr>
          <w:rFonts w:hint="eastAsia" w:ascii="仿宋" w:hAnsi="仿宋" w:eastAsia="仿宋"/>
          <w:sz w:val="32"/>
          <w:szCs w:val="32"/>
        </w:rPr>
        <w:t>%；社会保障和就业支出230.38万元，占9.20%，卫生健康支出123.70，占4.94%，节能环保支出21.60万元，占0.86%，农林水支出52.36万元，占2.09%，住房保障支出140.40万元，占5.61%。</w:t>
      </w:r>
    </w:p>
    <w:p>
      <w:pPr>
        <w:ind w:firstLine="480" w:firstLineChars="15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1.一般公共服务支出201（类）政府办公厅（室）及相关机构事务20103（款）2010301行政运行（项）2024年预算数为</w:t>
      </w:r>
      <w:r>
        <w:rPr>
          <w:rFonts w:hint="eastAsia" w:ascii="仿宋" w:hAnsi="仿宋" w:eastAsia="仿宋"/>
          <w:sz w:val="32"/>
          <w:szCs w:val="32"/>
          <w:u w:val="single"/>
        </w:rPr>
        <w:t>1518.84</w:t>
      </w:r>
      <w:r>
        <w:rPr>
          <w:rFonts w:hint="eastAsia" w:ascii="仿宋" w:hAnsi="仿宋" w:eastAsia="仿宋"/>
          <w:sz w:val="32"/>
          <w:szCs w:val="32"/>
        </w:rPr>
        <w:t>万元，比2023年执行数增加198.84万元，增长15.06%。主要是本年度人员增加。</w:t>
      </w:r>
    </w:p>
    <w:p>
      <w:pPr>
        <w:ind w:firstLine="640" w:firstLineChars="200"/>
        <w:rPr>
          <w:rFonts w:ascii="仿宋" w:hAnsi="仿宋" w:eastAsia="仿宋"/>
          <w:sz w:val="32"/>
          <w:szCs w:val="32"/>
        </w:rPr>
      </w:pPr>
      <w:r>
        <w:rPr>
          <w:rFonts w:hint="eastAsia" w:ascii="仿宋" w:hAnsi="仿宋" w:eastAsia="仿宋"/>
          <w:sz w:val="32"/>
          <w:szCs w:val="32"/>
        </w:rPr>
        <w:t>2.一般公共服务支出201（类）人大事务20101（款）其他人大事务支出2010199（项）2024年预算数为</w:t>
      </w:r>
      <w:r>
        <w:rPr>
          <w:rFonts w:hint="eastAsia" w:ascii="仿宋" w:hAnsi="仿宋" w:eastAsia="仿宋"/>
          <w:sz w:val="32"/>
          <w:szCs w:val="32"/>
          <w:u w:val="single"/>
        </w:rPr>
        <w:t>15.68</w:t>
      </w:r>
      <w:r>
        <w:rPr>
          <w:rFonts w:hint="eastAsia" w:ascii="仿宋" w:hAnsi="仿宋" w:eastAsia="仿宋"/>
          <w:sz w:val="32"/>
          <w:szCs w:val="32"/>
        </w:rPr>
        <w:t>万元，比2023 年执行数增加14.76万元，增长</w:t>
      </w:r>
      <w:r>
        <w:rPr>
          <w:rFonts w:hint="eastAsia" w:ascii="仿宋" w:hAnsi="仿宋" w:eastAsia="仿宋"/>
          <w:sz w:val="32"/>
          <w:szCs w:val="32"/>
          <w:u w:val="single"/>
        </w:rPr>
        <w:t>1604.35</w:t>
      </w:r>
      <w:r>
        <w:rPr>
          <w:rFonts w:hint="eastAsia" w:ascii="仿宋" w:hAnsi="仿宋" w:eastAsia="仿宋"/>
          <w:sz w:val="32"/>
          <w:szCs w:val="32"/>
        </w:rPr>
        <w:t xml:space="preserve"> %。主要是2024年配备专门人大工作人员。</w:t>
      </w:r>
    </w:p>
    <w:p>
      <w:pPr>
        <w:ind w:firstLine="640" w:firstLineChars="200"/>
        <w:rPr>
          <w:rFonts w:ascii="仿宋" w:hAnsi="仿宋" w:eastAsia="仿宋"/>
          <w:sz w:val="32"/>
          <w:szCs w:val="32"/>
        </w:rPr>
      </w:pPr>
      <w:r>
        <w:rPr>
          <w:rFonts w:hint="eastAsia" w:ascii="仿宋" w:hAnsi="仿宋" w:eastAsia="仿宋"/>
          <w:sz w:val="32"/>
          <w:szCs w:val="32"/>
        </w:rPr>
        <w:t>3.一般公共服务支出201（类）组织事务20132（款）其他组织事务支出2013299（项）2024年预算数为</w:t>
      </w:r>
      <w:r>
        <w:rPr>
          <w:rFonts w:hint="eastAsia" w:ascii="仿宋" w:hAnsi="仿宋" w:eastAsia="仿宋"/>
          <w:sz w:val="32"/>
          <w:szCs w:val="32"/>
          <w:u w:val="single"/>
        </w:rPr>
        <w:t>310.30</w:t>
      </w:r>
      <w:r>
        <w:rPr>
          <w:rFonts w:hint="eastAsia" w:ascii="仿宋" w:hAnsi="仿宋" w:eastAsia="仿宋"/>
          <w:sz w:val="32"/>
          <w:szCs w:val="32"/>
        </w:rPr>
        <w:t>万元，比2023 年执行数增加76.95万元，增长</w:t>
      </w:r>
      <w:r>
        <w:rPr>
          <w:rFonts w:hint="eastAsia" w:ascii="仿宋" w:hAnsi="仿宋" w:eastAsia="仿宋"/>
          <w:sz w:val="32"/>
          <w:szCs w:val="32"/>
          <w:u w:val="single"/>
        </w:rPr>
        <w:t>32.98</w:t>
      </w:r>
      <w:r>
        <w:rPr>
          <w:rFonts w:hint="eastAsia" w:ascii="仿宋" w:hAnsi="仿宋" w:eastAsia="仿宋"/>
          <w:sz w:val="32"/>
          <w:szCs w:val="32"/>
        </w:rPr>
        <w:t xml:space="preserve"> %。主要是其他组织事务支出增加。</w:t>
      </w:r>
    </w:p>
    <w:p>
      <w:pPr>
        <w:ind w:firstLine="640" w:firstLineChars="200"/>
        <w:rPr>
          <w:rFonts w:ascii="仿宋" w:hAnsi="仿宋" w:eastAsia="仿宋"/>
          <w:sz w:val="32"/>
          <w:szCs w:val="32"/>
        </w:rPr>
      </w:pPr>
      <w:r>
        <w:rPr>
          <w:rFonts w:hint="eastAsia" w:ascii="仿宋" w:hAnsi="仿宋" w:eastAsia="仿宋"/>
          <w:sz w:val="32"/>
          <w:szCs w:val="32"/>
        </w:rPr>
        <w:t>4.一般公共服务支出201（类）宣传事务20133（款）其他宣传事务支出2013399（项）2024年预算数为</w:t>
      </w:r>
      <w:r>
        <w:rPr>
          <w:rFonts w:hint="eastAsia" w:ascii="仿宋" w:hAnsi="仿宋" w:eastAsia="仿宋"/>
          <w:sz w:val="32"/>
          <w:szCs w:val="32"/>
          <w:u w:val="single"/>
        </w:rPr>
        <w:t>11.00</w:t>
      </w:r>
      <w:r>
        <w:rPr>
          <w:rFonts w:hint="eastAsia" w:ascii="仿宋" w:hAnsi="仿宋" w:eastAsia="仿宋"/>
          <w:sz w:val="32"/>
          <w:szCs w:val="32"/>
        </w:rPr>
        <w:t>万元，比2023 年执行数增加3.46万元，增长45.89 %。主要是2024年举行第三届乡村振兴那曲奋进活动，需要资金比往年多。</w:t>
      </w:r>
    </w:p>
    <w:p>
      <w:pPr>
        <w:ind w:firstLine="640" w:firstLineChars="200"/>
        <w:rPr>
          <w:rFonts w:ascii="仿宋" w:hAnsi="仿宋" w:eastAsia="仿宋"/>
          <w:sz w:val="32"/>
          <w:szCs w:val="32"/>
        </w:rPr>
      </w:pPr>
      <w:r>
        <w:rPr>
          <w:rFonts w:hint="eastAsia" w:ascii="仿宋" w:hAnsi="仿宋" w:eastAsia="仿宋"/>
          <w:sz w:val="32"/>
          <w:szCs w:val="32"/>
        </w:rPr>
        <w:t>5.科学技术支出206（类）其他科学技术支出20699（款）其他科学技术支出2069999（项）2024年预算数为66.56万元，比2023 年执行数增加23.42万元，增长54.29 %。主要是本年度比往年提高薪资待遇，人员增加。</w:t>
      </w:r>
    </w:p>
    <w:p>
      <w:pPr>
        <w:rPr>
          <w:rFonts w:ascii="仿宋" w:hAnsi="仿宋" w:eastAsia="仿宋"/>
          <w:sz w:val="32"/>
          <w:szCs w:val="32"/>
        </w:rPr>
      </w:pPr>
      <w:r>
        <w:rPr>
          <w:rFonts w:hint="eastAsia" w:ascii="仿宋" w:hAnsi="仿宋" w:eastAsia="仿宋"/>
          <w:sz w:val="32"/>
          <w:szCs w:val="32"/>
        </w:rPr>
        <w:t xml:space="preserve">    6.文化旅游体育与传媒支出207（类）文化和旅游20701（款）群众文化支出2070109（项）2024年预算数为</w:t>
      </w:r>
      <w:r>
        <w:rPr>
          <w:rFonts w:hint="eastAsia" w:ascii="仿宋" w:hAnsi="仿宋" w:eastAsia="仿宋"/>
          <w:sz w:val="32"/>
          <w:szCs w:val="32"/>
          <w:u w:val="single"/>
        </w:rPr>
        <w:t>6.00</w:t>
      </w:r>
      <w:r>
        <w:rPr>
          <w:rFonts w:hint="eastAsia" w:ascii="仿宋" w:hAnsi="仿宋" w:eastAsia="仿宋"/>
          <w:sz w:val="32"/>
          <w:szCs w:val="32"/>
        </w:rPr>
        <w:t>万元，比2023 年执行数减少0.15万元，下降2.44 %。主要是2023年度其他类似资金多。</w:t>
      </w:r>
    </w:p>
    <w:p>
      <w:pPr>
        <w:rPr>
          <w:rFonts w:ascii="仿宋" w:hAnsi="仿宋" w:eastAsia="仿宋"/>
          <w:sz w:val="32"/>
          <w:szCs w:val="32"/>
        </w:rPr>
      </w:pPr>
      <w:r>
        <w:rPr>
          <w:rFonts w:hint="eastAsia" w:ascii="仿宋" w:hAnsi="仿宋" w:eastAsia="仿宋"/>
          <w:sz w:val="32"/>
          <w:szCs w:val="32"/>
        </w:rPr>
        <w:t xml:space="preserve">    7.文化旅游体育与传媒支出207（类）文化和旅游20701（款）艺术表演场所2070106（项）2024年预算数为3.60万元，比2023 年执行数减少1.40万元，下降28.00%。主要是2024年度其他类似资金多。</w:t>
      </w:r>
    </w:p>
    <w:p>
      <w:pPr>
        <w:ind w:firstLine="640" w:firstLineChars="200"/>
        <w:rPr>
          <w:rFonts w:ascii="仿宋" w:hAnsi="仿宋" w:eastAsia="仿宋"/>
          <w:sz w:val="32"/>
          <w:szCs w:val="32"/>
          <w:highlight w:val="yellow"/>
        </w:rPr>
      </w:pPr>
      <w:r>
        <w:rPr>
          <w:rFonts w:hint="eastAsia" w:ascii="仿宋" w:hAnsi="仿宋" w:eastAsia="仿宋"/>
          <w:sz w:val="32"/>
          <w:szCs w:val="32"/>
        </w:rPr>
        <w:t>8.文化旅游体育与传媒支出207（类）其他文化旅游体育与传媒支出20799（款）其他文化旅游体育与传媒支出2079999（项）2024年预算数为3.00万元，比2023 年执行数增加3万元，增长100 %。主要是2023年度执行数为0，且该笔资金功能为其他文化和旅游体育与传媒支出。</w:t>
      </w:r>
    </w:p>
    <w:p>
      <w:pPr>
        <w:ind w:firstLine="640" w:firstLineChars="200"/>
        <w:rPr>
          <w:rFonts w:hint="eastAsia" w:ascii="仿宋" w:hAnsi="仿宋" w:eastAsia="仿宋"/>
          <w:sz w:val="32"/>
          <w:szCs w:val="32"/>
        </w:rPr>
      </w:pPr>
      <w:r>
        <w:rPr>
          <w:rFonts w:hint="eastAsia" w:ascii="仿宋" w:hAnsi="仿宋" w:eastAsia="仿宋"/>
          <w:sz w:val="32"/>
          <w:szCs w:val="32"/>
        </w:rPr>
        <w:t>9.社会保障和就业支出支出208（类）民政管理事务20802（款）基层政权建设和社区治理2080208（项）2024年预算数为</w:t>
      </w:r>
      <w:r>
        <w:rPr>
          <w:rFonts w:hint="eastAsia" w:ascii="仿宋" w:hAnsi="仿宋" w:eastAsia="仿宋"/>
          <w:sz w:val="32"/>
          <w:szCs w:val="32"/>
          <w:u w:val="single"/>
        </w:rPr>
        <w:t>20.00</w:t>
      </w:r>
      <w:r>
        <w:rPr>
          <w:rFonts w:hint="eastAsia" w:ascii="仿宋" w:hAnsi="仿宋" w:eastAsia="仿宋"/>
          <w:sz w:val="32"/>
          <w:szCs w:val="32"/>
        </w:rPr>
        <w:t xml:space="preserve">万元，比2023 年执行数增加20.00万元，增长100.00 %。主要是2023年度执行数为0。 </w:t>
      </w:r>
    </w:p>
    <w:p>
      <w:pPr>
        <w:ind w:firstLine="640" w:firstLineChars="200"/>
        <w:rPr>
          <w:rFonts w:ascii="仿宋" w:hAnsi="仿宋" w:eastAsia="仿宋"/>
          <w:sz w:val="32"/>
          <w:szCs w:val="32"/>
        </w:rPr>
      </w:pPr>
      <w:r>
        <w:rPr>
          <w:rFonts w:hint="eastAsia" w:ascii="仿宋" w:hAnsi="仿宋" w:eastAsia="仿宋"/>
          <w:sz w:val="32"/>
          <w:szCs w:val="32"/>
        </w:rPr>
        <w:t>10.社会保障和就业支出支出208（类）行政事业单位养老支出20805（款）机关事业单位基本养老保险缴费支出2080505（项）2024年预算数为187.20万元，比2023 年执行数增加43.76万元，增长</w:t>
      </w:r>
      <w:r>
        <w:rPr>
          <w:rFonts w:hint="eastAsia" w:ascii="仿宋" w:hAnsi="仿宋" w:eastAsia="仿宋"/>
          <w:sz w:val="32"/>
          <w:szCs w:val="32"/>
          <w:u w:val="single"/>
        </w:rPr>
        <w:t>30.51</w:t>
      </w:r>
      <w:r>
        <w:rPr>
          <w:rFonts w:hint="eastAsia" w:ascii="仿宋" w:hAnsi="仿宋" w:eastAsia="仿宋"/>
          <w:sz w:val="32"/>
          <w:szCs w:val="32"/>
        </w:rPr>
        <w:t xml:space="preserve"> %。主要是年初预算人员新增。</w:t>
      </w:r>
    </w:p>
    <w:p>
      <w:pPr>
        <w:ind w:firstLine="640" w:firstLineChars="200"/>
        <w:rPr>
          <w:rFonts w:ascii="仿宋" w:hAnsi="仿宋" w:eastAsia="仿宋"/>
          <w:sz w:val="32"/>
          <w:szCs w:val="32"/>
        </w:rPr>
      </w:pPr>
      <w:r>
        <w:rPr>
          <w:rFonts w:hint="eastAsia" w:ascii="仿宋" w:hAnsi="仿宋" w:eastAsia="仿宋"/>
          <w:sz w:val="32"/>
          <w:szCs w:val="32"/>
        </w:rPr>
        <w:t>11.社会保障和就业支出208（类）其他社会保障和就业支出20899（款）其他社会保障和就业支出2089999（项）2024年预算数为</w:t>
      </w:r>
      <w:r>
        <w:rPr>
          <w:rFonts w:hint="eastAsia" w:ascii="仿宋" w:hAnsi="仿宋" w:eastAsia="仿宋"/>
          <w:sz w:val="32"/>
          <w:szCs w:val="32"/>
          <w:u w:val="single"/>
        </w:rPr>
        <w:t>23.18</w:t>
      </w:r>
      <w:r>
        <w:rPr>
          <w:rFonts w:hint="eastAsia" w:ascii="仿宋" w:hAnsi="仿宋" w:eastAsia="仿宋"/>
          <w:sz w:val="32"/>
          <w:szCs w:val="32"/>
        </w:rPr>
        <w:t>万元，比2023 年执行数增加1.28万元，增长5.84 %。主要是年初预算人员新增。</w:t>
      </w:r>
    </w:p>
    <w:p>
      <w:pPr>
        <w:ind w:firstLine="640" w:firstLineChars="200"/>
        <w:rPr>
          <w:rFonts w:ascii="仿宋" w:hAnsi="仿宋" w:eastAsia="仿宋"/>
          <w:sz w:val="32"/>
          <w:szCs w:val="32"/>
        </w:rPr>
      </w:pPr>
      <w:r>
        <w:rPr>
          <w:rFonts w:hint="eastAsia" w:ascii="仿宋" w:hAnsi="仿宋" w:eastAsia="仿宋"/>
          <w:sz w:val="32"/>
          <w:szCs w:val="32"/>
        </w:rPr>
        <w:t>12.卫生健康支出210（类）基层医疗卫生机构21003（款）乡镇卫生院2100302（项）2024年预算数为6.00万元，比2023 年执行数增加6.00万元，上升</w:t>
      </w:r>
      <w:r>
        <w:rPr>
          <w:rFonts w:hint="eastAsia" w:ascii="仿宋" w:hAnsi="仿宋" w:eastAsia="仿宋"/>
          <w:sz w:val="32"/>
          <w:szCs w:val="32"/>
          <w:u w:val="single"/>
        </w:rPr>
        <w:t>100.00</w:t>
      </w:r>
      <w:r>
        <w:rPr>
          <w:rFonts w:hint="eastAsia" w:ascii="仿宋" w:hAnsi="仿宋" w:eastAsia="仿宋"/>
          <w:sz w:val="32"/>
          <w:szCs w:val="32"/>
        </w:rPr>
        <w:t xml:space="preserve"> %。主要是2023年度执行数为0。</w:t>
      </w:r>
    </w:p>
    <w:p>
      <w:pPr>
        <w:ind w:firstLine="320" w:firstLineChars="100"/>
        <w:rPr>
          <w:rFonts w:ascii="仿宋" w:hAnsi="仿宋" w:eastAsia="仿宋"/>
          <w:sz w:val="32"/>
          <w:szCs w:val="32"/>
        </w:rPr>
      </w:pPr>
      <w:r>
        <w:rPr>
          <w:rFonts w:hint="eastAsia" w:ascii="仿宋" w:hAnsi="仿宋" w:eastAsia="仿宋"/>
          <w:sz w:val="32"/>
          <w:szCs w:val="32"/>
        </w:rPr>
        <w:t xml:space="preserve">  13.卫生健康支出210（类）行政事业单位医疗21011（款）行政单位医疗2101101（项）2024年预算数为</w:t>
      </w:r>
      <w:r>
        <w:rPr>
          <w:rFonts w:hint="eastAsia" w:ascii="仿宋" w:hAnsi="仿宋" w:eastAsia="仿宋"/>
          <w:sz w:val="32"/>
          <w:szCs w:val="32"/>
          <w:u w:val="single"/>
        </w:rPr>
        <w:t>90.09</w:t>
      </w:r>
      <w:r>
        <w:rPr>
          <w:rFonts w:hint="eastAsia" w:ascii="仿宋" w:hAnsi="仿宋" w:eastAsia="仿宋"/>
          <w:sz w:val="32"/>
          <w:szCs w:val="32"/>
        </w:rPr>
        <w:t>万元，比2023 年执行数增加21.06万元，上升30.51 %。主要是年初预算人员新增。</w:t>
      </w:r>
    </w:p>
    <w:p>
      <w:pPr>
        <w:ind w:firstLine="640" w:firstLineChars="200"/>
        <w:rPr>
          <w:rFonts w:ascii="仿宋" w:hAnsi="仿宋" w:eastAsia="仿宋"/>
          <w:sz w:val="32"/>
          <w:szCs w:val="32"/>
        </w:rPr>
      </w:pPr>
      <w:r>
        <w:rPr>
          <w:rFonts w:hint="eastAsia" w:ascii="仿宋" w:hAnsi="仿宋" w:eastAsia="仿宋"/>
          <w:sz w:val="32"/>
          <w:szCs w:val="32"/>
        </w:rPr>
        <w:t>14.卫生健康支出210（类）行政事业单位医疗21011（款）公务员医疗补助2101103（项）2024年预算数为</w:t>
      </w:r>
      <w:r>
        <w:rPr>
          <w:rFonts w:hint="eastAsia" w:ascii="仿宋" w:hAnsi="仿宋" w:eastAsia="仿宋"/>
          <w:sz w:val="32"/>
          <w:szCs w:val="32"/>
          <w:u w:val="single"/>
        </w:rPr>
        <w:t>11.77</w:t>
      </w:r>
      <w:r>
        <w:rPr>
          <w:rFonts w:hint="eastAsia" w:ascii="仿宋" w:hAnsi="仿宋" w:eastAsia="仿宋"/>
          <w:sz w:val="32"/>
          <w:szCs w:val="32"/>
        </w:rPr>
        <w:t>万元，比2023 年执行数增加5.37万元，增长83.91%。主要是年初预算人员增加。</w:t>
      </w:r>
    </w:p>
    <w:p>
      <w:pPr>
        <w:ind w:firstLine="640" w:firstLineChars="200"/>
        <w:rPr>
          <w:rFonts w:ascii="仿宋" w:hAnsi="仿宋" w:eastAsia="仿宋"/>
          <w:sz w:val="32"/>
          <w:szCs w:val="32"/>
        </w:rPr>
      </w:pPr>
      <w:r>
        <w:rPr>
          <w:rFonts w:hint="eastAsia" w:ascii="仿宋" w:hAnsi="仿宋" w:eastAsia="仿宋"/>
          <w:sz w:val="32"/>
          <w:szCs w:val="32"/>
        </w:rPr>
        <w:t>15.卫生健康支出210（类）其他卫生健康支出21099（款）其他卫生健康支出2109999（项）2024年预算数为</w:t>
      </w:r>
      <w:r>
        <w:rPr>
          <w:rFonts w:hint="eastAsia" w:ascii="仿宋" w:hAnsi="仿宋" w:eastAsia="仿宋"/>
          <w:sz w:val="32"/>
          <w:szCs w:val="32"/>
          <w:u w:val="single"/>
        </w:rPr>
        <w:t>15.84</w:t>
      </w:r>
      <w:r>
        <w:rPr>
          <w:rFonts w:hint="eastAsia" w:ascii="仿宋" w:hAnsi="仿宋" w:eastAsia="仿宋"/>
          <w:sz w:val="32"/>
          <w:szCs w:val="32"/>
        </w:rPr>
        <w:t>万元，比2023 年执行数增加0.00万元，上升0.00 %。主要是本年度与上年度采购计划相同。</w:t>
      </w:r>
    </w:p>
    <w:p>
      <w:pPr>
        <w:ind w:firstLine="640" w:firstLineChars="200"/>
        <w:rPr>
          <w:rFonts w:ascii="仿宋" w:hAnsi="仿宋" w:eastAsia="仿宋"/>
          <w:sz w:val="32"/>
          <w:szCs w:val="32"/>
        </w:rPr>
      </w:pPr>
      <w:r>
        <w:rPr>
          <w:rFonts w:hint="eastAsia" w:ascii="仿宋" w:hAnsi="仿宋" w:eastAsia="仿宋"/>
          <w:sz w:val="32"/>
          <w:szCs w:val="32"/>
        </w:rPr>
        <w:t>16.节能环保支出211（类）其他节能环保支出21199（款）其他节能环保支出2119999（项）2024年预算数为</w:t>
      </w:r>
      <w:r>
        <w:rPr>
          <w:rFonts w:hint="eastAsia" w:ascii="仿宋" w:hAnsi="仿宋" w:eastAsia="仿宋"/>
          <w:sz w:val="32"/>
          <w:szCs w:val="32"/>
          <w:u w:val="single"/>
        </w:rPr>
        <w:t>21.60</w:t>
      </w:r>
      <w:r>
        <w:rPr>
          <w:rFonts w:hint="eastAsia" w:ascii="仿宋" w:hAnsi="仿宋" w:eastAsia="仿宋"/>
          <w:sz w:val="32"/>
          <w:szCs w:val="32"/>
        </w:rPr>
        <w:t>万元，比2023 年执行数减少24.73万元，下降53.38 %。主要是其他类似资金多。</w:t>
      </w:r>
    </w:p>
    <w:p>
      <w:pPr>
        <w:ind w:firstLine="640" w:firstLineChars="200"/>
        <w:rPr>
          <w:rFonts w:ascii="仿宋" w:hAnsi="仿宋" w:eastAsia="仿宋"/>
          <w:sz w:val="32"/>
          <w:szCs w:val="32"/>
        </w:rPr>
      </w:pPr>
      <w:r>
        <w:rPr>
          <w:rFonts w:hint="eastAsia" w:ascii="仿宋" w:hAnsi="仿宋" w:eastAsia="仿宋"/>
          <w:sz w:val="32"/>
          <w:szCs w:val="32"/>
        </w:rPr>
        <w:t>17.农林水支出213（类）农业农村21301（款）病虫害控制2130108（项）2024年预算数为</w:t>
      </w:r>
      <w:r>
        <w:rPr>
          <w:rFonts w:hint="eastAsia" w:ascii="仿宋" w:hAnsi="仿宋" w:eastAsia="仿宋"/>
          <w:sz w:val="32"/>
          <w:szCs w:val="32"/>
          <w:u w:val="single"/>
        </w:rPr>
        <w:t>15.84</w:t>
      </w:r>
      <w:r>
        <w:rPr>
          <w:rFonts w:hint="eastAsia" w:ascii="仿宋" w:hAnsi="仿宋" w:eastAsia="仿宋"/>
          <w:sz w:val="32"/>
          <w:szCs w:val="32"/>
        </w:rPr>
        <w:t>万元，比2023 年执行数增加0.00万元，增长0 .00%。主要是无变动。</w:t>
      </w:r>
    </w:p>
    <w:p>
      <w:pPr>
        <w:rPr>
          <w:rFonts w:ascii="仿宋" w:hAnsi="仿宋" w:eastAsia="仿宋"/>
          <w:sz w:val="32"/>
          <w:szCs w:val="32"/>
        </w:rPr>
      </w:pPr>
      <w:r>
        <w:rPr>
          <w:rFonts w:hint="eastAsia" w:ascii="仿宋" w:hAnsi="仿宋" w:eastAsia="仿宋"/>
          <w:sz w:val="32"/>
          <w:szCs w:val="32"/>
        </w:rPr>
        <w:t xml:space="preserve">    18.农林水支出213（类）农业农村21301（款）科技转化与推广服务2130106（项）2024年预算数为</w:t>
      </w:r>
      <w:r>
        <w:rPr>
          <w:rFonts w:hint="eastAsia" w:ascii="仿宋" w:hAnsi="仿宋" w:eastAsia="仿宋"/>
          <w:sz w:val="32"/>
          <w:szCs w:val="32"/>
          <w:u w:val="single"/>
        </w:rPr>
        <w:t>3</w:t>
      </w:r>
      <w:r>
        <w:rPr>
          <w:rFonts w:hint="eastAsia" w:ascii="仿宋" w:hAnsi="仿宋" w:eastAsia="仿宋"/>
          <w:sz w:val="32"/>
          <w:szCs w:val="32"/>
        </w:rPr>
        <w:t>6.52万元，比2023 年执行数增加10.56万元，上升40.68 %。主要是薪资待遇提高。</w:t>
      </w:r>
    </w:p>
    <w:p>
      <w:pPr>
        <w:ind w:firstLine="640" w:firstLineChars="200"/>
        <w:rPr>
          <w:rFonts w:ascii="仿宋" w:hAnsi="仿宋" w:eastAsia="仿宋"/>
          <w:sz w:val="32"/>
          <w:szCs w:val="32"/>
        </w:rPr>
      </w:pPr>
      <w:r>
        <w:rPr>
          <w:rFonts w:hint="eastAsia" w:ascii="仿宋" w:hAnsi="仿宋" w:eastAsia="仿宋"/>
          <w:sz w:val="32"/>
          <w:szCs w:val="32"/>
        </w:rPr>
        <w:t>19.住房保障支出221（类）住房改革支出22102（款）住房公积金2210201（项）2024年预算数为</w:t>
      </w:r>
      <w:r>
        <w:rPr>
          <w:rFonts w:hint="eastAsia" w:ascii="仿宋" w:hAnsi="仿宋" w:eastAsia="仿宋"/>
          <w:sz w:val="32"/>
          <w:szCs w:val="32"/>
          <w:u w:val="single"/>
        </w:rPr>
        <w:t>140.40</w:t>
      </w:r>
      <w:r>
        <w:rPr>
          <w:rFonts w:hint="eastAsia" w:ascii="仿宋" w:hAnsi="仿宋" w:eastAsia="仿宋"/>
          <w:sz w:val="32"/>
          <w:szCs w:val="32"/>
        </w:rPr>
        <w:t>万元，比2023 年执行数增加7.63万元，上升5.75%。主要是人员增加。</w:t>
      </w:r>
    </w:p>
    <w:p>
      <w:pPr>
        <w:ind w:firstLine="640" w:firstLineChars="200"/>
        <w:rPr>
          <w:rFonts w:ascii="黑体" w:hAnsi="黑体" w:eastAsia="黑体"/>
          <w:sz w:val="32"/>
          <w:szCs w:val="32"/>
        </w:rPr>
      </w:pPr>
      <w:r>
        <w:rPr>
          <w:rFonts w:hint="eastAsia" w:ascii="黑体" w:hAnsi="黑体" w:eastAsia="黑体"/>
          <w:sz w:val="32"/>
          <w:szCs w:val="32"/>
        </w:rPr>
        <w:t>六、2024年一般公共预算基本支出表的说明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rPr>
        <w:t>2042.07</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2133.80</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1151.42万元、</w:t>
      </w:r>
      <w:r>
        <w:rPr>
          <w:rFonts w:ascii="仿宋" w:hAnsi="仿宋" w:eastAsia="仿宋"/>
          <w:sz w:val="32"/>
          <w:szCs w:val="32"/>
        </w:rPr>
        <w:t>机关事业单位养老保险缴费</w:t>
      </w:r>
      <w:r>
        <w:rPr>
          <w:rFonts w:hint="eastAsia" w:ascii="仿宋" w:hAnsi="仿宋" w:eastAsia="仿宋"/>
          <w:sz w:val="32"/>
          <w:szCs w:val="32"/>
        </w:rPr>
        <w:t>187.20万元、职工基本医疗保险缴费90.09万元、</w:t>
      </w:r>
      <w:r>
        <w:rPr>
          <w:rFonts w:ascii="仿宋" w:hAnsi="仿宋" w:eastAsia="仿宋"/>
          <w:sz w:val="32"/>
          <w:szCs w:val="32"/>
        </w:rPr>
        <w:t>公务员医疗补助</w:t>
      </w:r>
      <w:r>
        <w:rPr>
          <w:rFonts w:hint="eastAsia" w:ascii="仿宋" w:hAnsi="仿宋" w:eastAsia="仿宋"/>
          <w:sz w:val="32"/>
          <w:szCs w:val="32"/>
        </w:rPr>
        <w:t>11.77万元、</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5.06万元、</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343.33万元、</w:t>
      </w:r>
      <w:r>
        <w:rPr>
          <w:rFonts w:ascii="仿宋" w:hAnsi="仿宋" w:eastAsia="仿宋"/>
          <w:sz w:val="32"/>
          <w:szCs w:val="32"/>
        </w:rPr>
        <w:t>住房公积金</w:t>
      </w:r>
      <w:r>
        <w:rPr>
          <w:rFonts w:hint="eastAsia" w:ascii="仿宋" w:hAnsi="仿宋" w:eastAsia="仿宋"/>
          <w:sz w:val="32"/>
          <w:szCs w:val="32"/>
        </w:rPr>
        <w:t>140.40万元、</w:t>
      </w:r>
      <w:r>
        <w:rPr>
          <w:rFonts w:ascii="仿宋" w:hAnsi="仿宋" w:eastAsia="仿宋"/>
          <w:sz w:val="32"/>
          <w:szCs w:val="32"/>
        </w:rPr>
        <w:t>医疗费</w:t>
      </w:r>
      <w:r>
        <w:rPr>
          <w:rFonts w:hint="eastAsia" w:ascii="仿宋" w:hAnsi="仿宋" w:eastAsia="仿宋"/>
          <w:sz w:val="32"/>
          <w:szCs w:val="32"/>
        </w:rPr>
        <w:t>11.02万元、</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193.51万元。</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109.27</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24.19万元、</w:t>
      </w:r>
      <w:r>
        <w:rPr>
          <w:rFonts w:ascii="仿宋" w:hAnsi="仿宋" w:eastAsia="仿宋"/>
          <w:sz w:val="32"/>
          <w:szCs w:val="32"/>
        </w:rPr>
        <w:t>印刷费</w:t>
      </w:r>
      <w:r>
        <w:rPr>
          <w:rFonts w:hint="eastAsia" w:ascii="仿宋" w:hAnsi="仿宋" w:eastAsia="仿宋"/>
          <w:sz w:val="32"/>
          <w:szCs w:val="32"/>
        </w:rPr>
        <w:t>8.00万元、水费0.20万元、取暖费7.00万元、</w:t>
      </w:r>
      <w:r>
        <w:rPr>
          <w:rFonts w:ascii="仿宋" w:hAnsi="仿宋" w:eastAsia="仿宋"/>
          <w:sz w:val="32"/>
          <w:szCs w:val="32"/>
        </w:rPr>
        <w:t>邮电费</w:t>
      </w:r>
      <w:r>
        <w:rPr>
          <w:rFonts w:hint="eastAsia" w:ascii="仿宋" w:hAnsi="仿宋" w:eastAsia="仿宋"/>
          <w:sz w:val="32"/>
          <w:szCs w:val="32"/>
        </w:rPr>
        <w:t>0.50万元、</w:t>
      </w:r>
      <w:r>
        <w:rPr>
          <w:rFonts w:ascii="仿宋" w:hAnsi="仿宋" w:eastAsia="仿宋"/>
          <w:sz w:val="32"/>
          <w:szCs w:val="32"/>
        </w:rPr>
        <w:t>差旅费</w:t>
      </w:r>
      <w:r>
        <w:rPr>
          <w:rFonts w:hint="eastAsia" w:ascii="仿宋" w:hAnsi="仿宋" w:eastAsia="仿宋"/>
          <w:sz w:val="32"/>
          <w:szCs w:val="32"/>
        </w:rPr>
        <w:t>28.00万元、</w:t>
      </w:r>
      <w:r>
        <w:rPr>
          <w:rFonts w:ascii="仿宋" w:hAnsi="仿宋" w:eastAsia="仿宋"/>
          <w:sz w:val="32"/>
          <w:szCs w:val="32"/>
        </w:rPr>
        <w:t>维修(护)费</w:t>
      </w:r>
      <w:r>
        <w:rPr>
          <w:rFonts w:hint="eastAsia" w:ascii="仿宋" w:hAnsi="仿宋" w:eastAsia="仿宋"/>
          <w:sz w:val="32"/>
          <w:szCs w:val="32"/>
        </w:rPr>
        <w:t>3.00万元、</w:t>
      </w:r>
      <w:r>
        <w:rPr>
          <w:rFonts w:ascii="仿宋" w:hAnsi="仿宋" w:eastAsia="仿宋"/>
          <w:sz w:val="32"/>
          <w:szCs w:val="32"/>
        </w:rPr>
        <w:t>公务接待费</w:t>
      </w:r>
      <w:r>
        <w:rPr>
          <w:rFonts w:hint="eastAsia" w:ascii="仿宋" w:hAnsi="仿宋" w:eastAsia="仿宋"/>
          <w:sz w:val="32"/>
          <w:szCs w:val="32"/>
        </w:rPr>
        <w:t>2.00万元、</w:t>
      </w:r>
      <w:r>
        <w:rPr>
          <w:rFonts w:ascii="仿宋" w:hAnsi="仿宋" w:eastAsia="仿宋"/>
          <w:sz w:val="32"/>
          <w:szCs w:val="32"/>
        </w:rPr>
        <w:t>公务用车运行维护费</w:t>
      </w:r>
      <w:r>
        <w:rPr>
          <w:rFonts w:hint="eastAsia" w:ascii="仿宋" w:hAnsi="仿宋" w:eastAsia="仿宋"/>
          <w:sz w:val="32"/>
          <w:szCs w:val="32"/>
        </w:rPr>
        <w:t>15.00万元、</w:t>
      </w:r>
      <w:r>
        <w:rPr>
          <w:rFonts w:ascii="仿宋" w:hAnsi="仿宋" w:eastAsia="仿宋"/>
          <w:sz w:val="32"/>
          <w:szCs w:val="32"/>
        </w:rPr>
        <w:t>工会经费</w:t>
      </w:r>
      <w:r>
        <w:rPr>
          <w:rFonts w:hint="eastAsia" w:ascii="仿宋" w:hAnsi="仿宋" w:eastAsia="仿宋"/>
          <w:sz w:val="32"/>
          <w:szCs w:val="32"/>
        </w:rPr>
        <w:t>21.38万元。</w:t>
      </w:r>
    </w:p>
    <w:p>
      <w:pPr>
        <w:ind w:firstLine="640" w:firstLineChars="200"/>
        <w:rPr>
          <w:rFonts w:ascii="黑体" w:hAnsi="黑体" w:eastAsia="黑体"/>
          <w:sz w:val="32"/>
          <w:szCs w:val="32"/>
        </w:rPr>
      </w:pPr>
      <w:r>
        <w:rPr>
          <w:rFonts w:hint="eastAsia" w:ascii="黑体" w:hAnsi="黑体" w:eastAsia="黑体"/>
          <w:sz w:val="32"/>
          <w:szCs w:val="32"/>
        </w:rPr>
        <w:t>七、2024年度一般公共预算“三公”经费预算情况说明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rPr>
        <w:t>17.00</w:t>
      </w:r>
      <w:r>
        <w:rPr>
          <w:rFonts w:hint="eastAsia" w:ascii="仿宋" w:hAnsi="仿宋" w:eastAsia="仿宋"/>
          <w:sz w:val="32"/>
          <w:szCs w:val="32"/>
        </w:rPr>
        <w:t>万元，其中：因公出国（境）费</w:t>
      </w:r>
      <w:r>
        <w:rPr>
          <w:rFonts w:hint="eastAsia" w:ascii="仿宋" w:hAnsi="仿宋" w:eastAsia="仿宋"/>
          <w:sz w:val="32"/>
          <w:szCs w:val="32"/>
          <w:u w:val="single"/>
        </w:rPr>
        <w:t>0.00</w:t>
      </w:r>
      <w:r>
        <w:rPr>
          <w:rFonts w:hint="eastAsia" w:ascii="仿宋" w:hAnsi="仿宋" w:eastAsia="仿宋"/>
          <w:sz w:val="32"/>
          <w:szCs w:val="32"/>
        </w:rPr>
        <w:t>万元，公务用车购置及运行费</w:t>
      </w:r>
      <w:r>
        <w:rPr>
          <w:rFonts w:hint="eastAsia" w:ascii="仿宋" w:hAnsi="仿宋" w:eastAsia="仿宋"/>
          <w:sz w:val="32"/>
          <w:szCs w:val="32"/>
          <w:u w:val="single"/>
        </w:rPr>
        <w:t>15.00</w:t>
      </w:r>
      <w:r>
        <w:rPr>
          <w:rFonts w:hint="eastAsia" w:ascii="仿宋" w:hAnsi="仿宋" w:eastAsia="仿宋"/>
          <w:sz w:val="32"/>
          <w:szCs w:val="32"/>
        </w:rPr>
        <w:t>万元，公务接待费</w:t>
      </w:r>
      <w:r>
        <w:rPr>
          <w:rFonts w:hint="eastAsia" w:ascii="仿宋" w:hAnsi="仿宋" w:eastAsia="仿宋"/>
          <w:sz w:val="32"/>
          <w:szCs w:val="32"/>
          <w:u w:val="single"/>
        </w:rPr>
        <w:t>2.00</w:t>
      </w:r>
      <w:r>
        <w:rPr>
          <w:rFonts w:hint="eastAsia" w:ascii="仿宋" w:hAnsi="仿宋" w:eastAsia="仿宋"/>
          <w:sz w:val="32"/>
          <w:szCs w:val="32"/>
        </w:rPr>
        <w:t>万元。2024年“三公”经费预算比2023年减少（增加）0.00万元，压缩（增长）0.00%，</w:t>
      </w:r>
    </w:p>
    <w:p>
      <w:pPr>
        <w:ind w:firstLine="640" w:firstLineChars="200"/>
        <w:rPr>
          <w:rFonts w:ascii="仿宋" w:hAnsi="仿宋" w:eastAsia="仿宋"/>
          <w:sz w:val="32"/>
          <w:szCs w:val="32"/>
        </w:rPr>
      </w:pPr>
      <w:r>
        <w:rPr>
          <w:rFonts w:hint="eastAsia" w:ascii="仿宋" w:hAnsi="仿宋" w:eastAsia="仿宋"/>
          <w:sz w:val="32"/>
          <w:szCs w:val="32"/>
        </w:rPr>
        <w:t>因公出国（境）团组0人，公务用车购置辆0保有量，国内公务接待批次0人。</w:t>
      </w:r>
    </w:p>
    <w:p>
      <w:pPr>
        <w:ind w:firstLine="640" w:firstLineChars="200"/>
        <w:rPr>
          <w:rFonts w:ascii="黑体" w:hAnsi="黑体" w:eastAsia="黑体"/>
          <w:sz w:val="32"/>
          <w:szCs w:val="32"/>
        </w:rPr>
      </w:pPr>
      <w:r>
        <w:rPr>
          <w:rFonts w:hint="eastAsia" w:ascii="黑体" w:hAnsi="黑体" w:eastAsia="黑体"/>
          <w:sz w:val="32"/>
          <w:szCs w:val="32"/>
        </w:rPr>
        <w:t>八、2024年度政府性基金预算支出情况说明</w:t>
      </w:r>
    </w:p>
    <w:p>
      <w:pPr>
        <w:ind w:firstLine="640" w:firstLineChars="200"/>
        <w:rPr>
          <w:rFonts w:hint="eastAsia" w:ascii="仿宋" w:hAnsi="仿宋" w:eastAsia="仿宋"/>
          <w:sz w:val="32"/>
          <w:szCs w:val="32"/>
          <w:highlight w:val="yellow"/>
          <w:lang w:eastAsia="zh-CN"/>
        </w:rPr>
      </w:pPr>
      <w:r>
        <w:rPr>
          <w:rFonts w:hint="eastAsia" w:ascii="仿宋" w:hAnsi="仿宋" w:eastAsia="仿宋"/>
          <w:sz w:val="32"/>
          <w:szCs w:val="32"/>
        </w:rPr>
        <w:t>2024年政府性基金预算当年拨款</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万元,比2023年执行数减少</w:t>
      </w:r>
      <w:r>
        <w:rPr>
          <w:rFonts w:hint="eastAsia" w:ascii="仿宋_GB2312" w:eastAsia="仿宋_GB2312" w:cs="仿宋_GB2312" w:hAnsiTheme="minorHAnsi"/>
          <w:kern w:val="0"/>
          <w:sz w:val="32"/>
          <w:szCs w:val="32"/>
          <w:u w:val="single"/>
        </w:rPr>
        <w:t>0</w:t>
      </w:r>
      <w:r>
        <w:rPr>
          <w:rFonts w:hint="eastAsia" w:ascii="宋体" w:hAnsi="宋体" w:cs="宋体"/>
          <w:kern w:val="0"/>
          <w:sz w:val="32"/>
          <w:szCs w:val="32"/>
          <w:u w:val="single"/>
        </w:rPr>
        <w:t>.00</w:t>
      </w:r>
      <w:r>
        <w:rPr>
          <w:rFonts w:hint="eastAsia" w:ascii="仿宋" w:hAnsi="仿宋" w:eastAsia="仿宋"/>
          <w:sz w:val="32"/>
          <w:szCs w:val="32"/>
        </w:rPr>
        <w:t>万元，主要原因：我部门2024年度没有使用政府性基金安排的支出</w:t>
      </w:r>
      <w:r>
        <w:rPr>
          <w:rFonts w:hint="eastAsia" w:ascii="仿宋" w:hAnsi="仿宋" w:eastAsia="仿宋"/>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九、其他重要事项的情况说明</w:t>
      </w:r>
      <w:bookmarkStart w:id="0" w:name="_GoBack"/>
      <w:bookmarkEnd w:id="0"/>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4年部门公用经费财政拨款109.27万元，比</w:t>
      </w:r>
      <w:r>
        <w:rPr>
          <w:rFonts w:ascii="仿宋" w:hAnsi="仿宋" w:eastAsia="仿宋"/>
          <w:sz w:val="32"/>
          <w:szCs w:val="32"/>
        </w:rPr>
        <w:t>202</w:t>
      </w:r>
      <w:r>
        <w:rPr>
          <w:rFonts w:hint="eastAsia" w:ascii="仿宋" w:hAnsi="仿宋" w:eastAsia="仿宋"/>
          <w:sz w:val="32"/>
          <w:szCs w:val="32"/>
        </w:rPr>
        <w:t>3年预算减少2.95万元，下降2.63</w:t>
      </w:r>
      <w:r>
        <w:rPr>
          <w:rFonts w:ascii="仿宋" w:hAnsi="仿宋" w:eastAsia="仿宋"/>
          <w:sz w:val="32"/>
          <w:szCs w:val="32"/>
        </w:rPr>
        <w:t>%</w:t>
      </w:r>
      <w:r>
        <w:rPr>
          <w:rFonts w:hint="eastAsia" w:ascii="仿宋" w:hAnsi="仿宋" w:eastAsia="仿宋"/>
          <w:sz w:val="32"/>
          <w:szCs w:val="32"/>
        </w:rPr>
        <w:t>。主要是根据我乡实际情况，按照统一预算标准进行编制。</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我单位2023年无采购预算。</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截至2024年2月底，本</w:t>
      </w:r>
      <w:r>
        <w:rPr>
          <w:rFonts w:ascii="仿宋" w:hAnsi="仿宋" w:eastAsia="仿宋"/>
          <w:sz w:val="32"/>
          <w:szCs w:val="32"/>
        </w:rPr>
        <w:t>部门</w:t>
      </w:r>
      <w:r>
        <w:rPr>
          <w:rFonts w:hint="eastAsia" w:ascii="仿宋" w:hAnsi="仿宋" w:eastAsia="仿宋"/>
          <w:sz w:val="32"/>
          <w:szCs w:val="32"/>
        </w:rPr>
        <w:t>及所属各预算单位共有车辆4辆，其中，应急保障用车1辆其他用车3辆，其他用车主要是公务用途的车辆。单位价值</w:t>
      </w:r>
      <w:r>
        <w:rPr>
          <w:rFonts w:ascii="仿宋" w:hAnsi="仿宋" w:eastAsia="仿宋"/>
          <w:sz w:val="32"/>
          <w:szCs w:val="32"/>
        </w:rPr>
        <w:t>50</w:t>
      </w:r>
      <w:r>
        <w:rPr>
          <w:rFonts w:hint="eastAsia" w:ascii="仿宋" w:hAnsi="仿宋" w:eastAsia="仿宋"/>
          <w:sz w:val="32"/>
          <w:szCs w:val="32"/>
        </w:rPr>
        <w:t>万元以上通用设备0台（套），单位价值</w:t>
      </w:r>
      <w:r>
        <w:rPr>
          <w:rFonts w:ascii="仿宋" w:hAnsi="仿宋" w:eastAsia="仿宋"/>
          <w:sz w:val="32"/>
          <w:szCs w:val="32"/>
        </w:rPr>
        <w:t>100</w:t>
      </w:r>
      <w:r>
        <w:rPr>
          <w:rFonts w:hint="eastAsia" w:ascii="仿宋" w:hAnsi="仿宋" w:eastAsia="仿宋"/>
          <w:sz w:val="32"/>
          <w:szCs w:val="32"/>
        </w:rPr>
        <w:t>万元以上专用设备0台（套）。</w:t>
      </w:r>
    </w:p>
    <w:p>
      <w:pPr>
        <w:spacing w:line="588" w:lineRule="exact"/>
        <w:ind w:firstLine="480" w:firstLineChars="150"/>
        <w:rPr>
          <w:rFonts w:ascii="仿宋" w:hAnsi="仿宋" w:eastAsia="仿宋"/>
          <w:b/>
          <w:sz w:val="32"/>
          <w:szCs w:val="32"/>
        </w:rPr>
      </w:pPr>
      <w:r>
        <w:rPr>
          <w:rFonts w:hint="eastAsia" w:ascii="楷体" w:hAnsi="楷体" w:eastAsia="楷体"/>
          <w:sz w:val="32"/>
          <w:szCs w:val="32"/>
        </w:rPr>
        <w:t>（四）2024年预算绩效目标管理情况。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2024年实现财政支出绩效目标管理全覆盖，实行绩效目标管理43个，资金2503.42万元，其中：财政性资金2503.42万元。重点项目实行绩效目标管理16个，分别是（村级党建工作经费60.00万元，占年初项目支出预算总额的23.04%；新时代文明活动中心（乡村振兴那曲奋进经费）11.00万元，占年初项目支出预算总额的4.22%；代表履职补贴7.68万元，占年初项目支出预算总额的2.94%；乡镇人大工作经费3.00万元，占年初项目支出预算总额的1.15%；乡镇文化站免费开放经费3.60万元，占年初项目支出预算总额的1.38%；乡镇食堂运行经费15.00万元，占年初项目支出预算总额的5.76%；生态管护员补助21.60万元，占年初项目支出预算总额的8.29%；乡镇供暖运行经费50.00万元, 占年初项目支出预算总额的19.20;村卫生室运行经费6.00万元，占年初项目支出预算总额的2.30%；驻村工作经费-取暖费6.48万元，占年初项目支出预算总额的2.48%；驻村工作经费-交通费30.00万元，占年初项目支出预算总额的11.52%；驻村工作经费-文艺演出队经费12.00万元，占年初项目支出预算总额的4.60%；基层政权建设20.00万元，占年初项目支出预算总额的7.68%；乡镇人大保障经费5.00万元，占年初项目支出预算总额的1.92%；村文艺演出队经费6.00万元，占年初项目支出预算总额的2.30%；戏曲进乡村3.00万元，占年初项目支出预算总额的1.15%）</w:t>
      </w:r>
    </w:p>
    <w:p>
      <w:pPr>
        <w:numPr>
          <w:ilvl w:val="0"/>
          <w:numId w:val="1"/>
        </w:numPr>
        <w:rPr>
          <w:rFonts w:ascii="楷体" w:hAnsi="楷体" w:eastAsia="楷体"/>
          <w:sz w:val="32"/>
          <w:szCs w:val="32"/>
        </w:rPr>
      </w:pPr>
      <w:r>
        <w:rPr>
          <w:rFonts w:hint="eastAsia" w:ascii="楷体" w:hAnsi="楷体" w:eastAsia="楷体"/>
          <w:sz w:val="32"/>
          <w:szCs w:val="32"/>
        </w:rPr>
        <w:t>乡村振兴衔接资金管理使用情况及绩效目标情况说明。</w:t>
      </w:r>
    </w:p>
    <w:p>
      <w:pPr>
        <w:rPr>
          <w:rFonts w:ascii="仿宋" w:hAnsi="仿宋" w:eastAsia="仿宋"/>
          <w:sz w:val="32"/>
          <w:szCs w:val="32"/>
        </w:rPr>
      </w:pPr>
      <w:r>
        <w:rPr>
          <w:rFonts w:hint="eastAsia" w:ascii="仿宋" w:hAnsi="仿宋" w:eastAsia="仿宋"/>
          <w:sz w:val="32"/>
          <w:szCs w:val="32"/>
        </w:rPr>
        <w:t xml:space="preserve">    本乡镇</w:t>
      </w:r>
      <w:r>
        <w:rPr>
          <w:rFonts w:hint="eastAsia" w:ascii="仿宋" w:hAnsi="仿宋" w:eastAsia="仿宋"/>
          <w:sz w:val="32"/>
          <w:szCs w:val="32"/>
          <w:lang w:val="en-US" w:eastAsia="zh-CN"/>
        </w:rPr>
        <w:t>2024年</w:t>
      </w:r>
      <w:r>
        <w:rPr>
          <w:rFonts w:hint="eastAsia" w:ascii="仿宋" w:hAnsi="仿宋" w:eastAsia="仿宋"/>
          <w:sz w:val="32"/>
          <w:szCs w:val="32"/>
        </w:rPr>
        <w:t>无乡村振兴衔接资金。</w:t>
      </w:r>
    </w:p>
    <w:p>
      <w:pPr>
        <w:numPr>
          <w:ilvl w:val="0"/>
          <w:numId w:val="1"/>
        </w:numPr>
        <w:rPr>
          <w:rFonts w:ascii="楷体" w:hAnsi="楷体" w:eastAsia="楷体"/>
          <w:sz w:val="32"/>
          <w:szCs w:val="32"/>
        </w:rPr>
      </w:pPr>
      <w:r>
        <w:rPr>
          <w:rFonts w:hint="eastAsia" w:ascii="楷体" w:hAnsi="楷体" w:eastAsia="楷体"/>
          <w:sz w:val="32"/>
          <w:szCs w:val="32"/>
        </w:rPr>
        <w:t>政府债务情况。</w:t>
      </w:r>
    </w:p>
    <w:p>
      <w:pPr>
        <w:rPr>
          <w:rFonts w:ascii="仿宋" w:hAnsi="仿宋" w:eastAsia="仿宋"/>
          <w:sz w:val="32"/>
          <w:szCs w:val="32"/>
        </w:rPr>
      </w:pPr>
      <w:r>
        <w:rPr>
          <w:rFonts w:hint="eastAsia" w:ascii="仿宋" w:hAnsi="仿宋" w:eastAsia="仿宋"/>
          <w:sz w:val="32"/>
          <w:szCs w:val="32"/>
        </w:rPr>
        <w:t xml:space="preserve">    本乡镇截止当前为止，无政府债务。</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ind w:firstLine="3520" w:firstLineChars="1100"/>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ind w:firstLine="3520" w:firstLineChars="1100"/>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ECEE3F5-38D7-40E6-9C96-A7AED23483C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59F0FF4-AD95-4762-B8FC-DBDDB8338A26}"/>
  </w:font>
  <w:font w:name="仿宋">
    <w:panose1 w:val="02010609060101010101"/>
    <w:charset w:val="86"/>
    <w:family w:val="modern"/>
    <w:pitch w:val="default"/>
    <w:sig w:usb0="800002BF" w:usb1="38CF7CFA" w:usb2="00000016" w:usb3="00000000" w:csb0="00040001" w:csb1="00000000"/>
    <w:embedRegular r:id="rId3" w:fontKey="{786F9463-3B6A-45A0-B6CB-75E1F84939D7}"/>
  </w:font>
  <w:font w:name="方正小标宋简体">
    <w:panose1 w:val="02000000000000000000"/>
    <w:charset w:val="86"/>
    <w:family w:val="script"/>
    <w:pitch w:val="default"/>
    <w:sig w:usb0="00000001" w:usb1="08000000" w:usb2="00000000" w:usb3="00000000" w:csb0="00040000" w:csb1="00000000"/>
    <w:embedRegular r:id="rId4" w:fontKey="{2B6C16A7-4DD8-4FFB-9A62-67DF65D37B40}"/>
  </w:font>
  <w:font w:name="楷体">
    <w:panose1 w:val="02010609060101010101"/>
    <w:charset w:val="86"/>
    <w:family w:val="modern"/>
    <w:pitch w:val="default"/>
    <w:sig w:usb0="800002BF" w:usb1="38CF7CFA" w:usb2="00000016" w:usb3="00000000" w:csb0="00040001" w:csb1="00000000"/>
    <w:embedRegular r:id="rId5" w:fontKey="{7AE10ECF-E395-4BF6-9C22-BCAD46E97A51}"/>
  </w:font>
  <w:font w:name="仿宋_GB2312">
    <w:altName w:val="仿宋"/>
    <w:panose1 w:val="00000000000000000000"/>
    <w:charset w:val="86"/>
    <w:family w:val="modern"/>
    <w:pitch w:val="default"/>
    <w:sig w:usb0="00000000" w:usb1="00000000" w:usb2="00000000" w:usb3="00000000" w:csb0="00040000" w:csb1="00000000"/>
    <w:embedRegular r:id="rId6" w:fontKey="{A7ED8BFB-897F-40A8-9DCF-1A57DBEC23D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15</w:t>
    </w:r>
    <w:r>
      <w:rPr>
        <w:rStyle w:val="7"/>
        <w:sz w:val="24"/>
        <w:szCs w:val="24"/>
      </w:rPr>
      <w:fldChar w:fldCharType="end"/>
    </w:r>
  </w:p>
  <w:p>
    <w:pPr>
      <w:pStyle w:val="3"/>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58ABDD"/>
    <w:multiLevelType w:val="singleLevel"/>
    <w:tmpl w:val="2058ABD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MxMzU2YzA2Njc1OTIxMDI0NWZiNTMxNTkxYmRmZmEifQ=="/>
  </w:docVars>
  <w:rsids>
    <w:rsidRoot w:val="00643004"/>
    <w:rsid w:val="00015A4C"/>
    <w:rsid w:val="000250BD"/>
    <w:rsid w:val="00041C59"/>
    <w:rsid w:val="00043AA8"/>
    <w:rsid w:val="00086B54"/>
    <w:rsid w:val="00096F91"/>
    <w:rsid w:val="000A1AFA"/>
    <w:rsid w:val="000A6427"/>
    <w:rsid w:val="000C295C"/>
    <w:rsid w:val="000F293F"/>
    <w:rsid w:val="00105104"/>
    <w:rsid w:val="001162B6"/>
    <w:rsid w:val="00123A5A"/>
    <w:rsid w:val="00137481"/>
    <w:rsid w:val="00151C9B"/>
    <w:rsid w:val="00160D39"/>
    <w:rsid w:val="00171480"/>
    <w:rsid w:val="00174215"/>
    <w:rsid w:val="0019137D"/>
    <w:rsid w:val="001A3ED3"/>
    <w:rsid w:val="001A47B8"/>
    <w:rsid w:val="001A6CD9"/>
    <w:rsid w:val="001B4F21"/>
    <w:rsid w:val="001E25E8"/>
    <w:rsid w:val="001E413D"/>
    <w:rsid w:val="001F21E2"/>
    <w:rsid w:val="001F5E8D"/>
    <w:rsid w:val="0020631E"/>
    <w:rsid w:val="00211391"/>
    <w:rsid w:val="00213708"/>
    <w:rsid w:val="00230405"/>
    <w:rsid w:val="00236331"/>
    <w:rsid w:val="00255CD4"/>
    <w:rsid w:val="00266E39"/>
    <w:rsid w:val="00285201"/>
    <w:rsid w:val="002B4B50"/>
    <w:rsid w:val="002E550F"/>
    <w:rsid w:val="0031342C"/>
    <w:rsid w:val="003139C9"/>
    <w:rsid w:val="00322979"/>
    <w:rsid w:val="00323C72"/>
    <w:rsid w:val="00324F54"/>
    <w:rsid w:val="00343F94"/>
    <w:rsid w:val="003646E6"/>
    <w:rsid w:val="00371B62"/>
    <w:rsid w:val="00371BC9"/>
    <w:rsid w:val="003726A6"/>
    <w:rsid w:val="003A4455"/>
    <w:rsid w:val="003A4970"/>
    <w:rsid w:val="003C07B1"/>
    <w:rsid w:val="003E21A4"/>
    <w:rsid w:val="003E2D5B"/>
    <w:rsid w:val="0042253D"/>
    <w:rsid w:val="00434727"/>
    <w:rsid w:val="00435AC1"/>
    <w:rsid w:val="004573CF"/>
    <w:rsid w:val="004773FB"/>
    <w:rsid w:val="00480381"/>
    <w:rsid w:val="0048669A"/>
    <w:rsid w:val="00490C1D"/>
    <w:rsid w:val="004970A2"/>
    <w:rsid w:val="004A7E0B"/>
    <w:rsid w:val="004B70D0"/>
    <w:rsid w:val="004C433B"/>
    <w:rsid w:val="004C45A4"/>
    <w:rsid w:val="004D363A"/>
    <w:rsid w:val="004F0973"/>
    <w:rsid w:val="004F7C59"/>
    <w:rsid w:val="00510F60"/>
    <w:rsid w:val="00512DED"/>
    <w:rsid w:val="005227B8"/>
    <w:rsid w:val="00542D4C"/>
    <w:rsid w:val="005472B4"/>
    <w:rsid w:val="00552117"/>
    <w:rsid w:val="005526AE"/>
    <w:rsid w:val="00556119"/>
    <w:rsid w:val="0056413E"/>
    <w:rsid w:val="00570F81"/>
    <w:rsid w:val="00572736"/>
    <w:rsid w:val="00576C78"/>
    <w:rsid w:val="00577343"/>
    <w:rsid w:val="00587E83"/>
    <w:rsid w:val="00593341"/>
    <w:rsid w:val="0059511E"/>
    <w:rsid w:val="0059715A"/>
    <w:rsid w:val="005B264E"/>
    <w:rsid w:val="005B7595"/>
    <w:rsid w:val="005D584E"/>
    <w:rsid w:val="005E5236"/>
    <w:rsid w:val="005F2417"/>
    <w:rsid w:val="005F2DA3"/>
    <w:rsid w:val="00611AA9"/>
    <w:rsid w:val="00640514"/>
    <w:rsid w:val="00641243"/>
    <w:rsid w:val="00643004"/>
    <w:rsid w:val="00653B9E"/>
    <w:rsid w:val="0067255B"/>
    <w:rsid w:val="006851DD"/>
    <w:rsid w:val="006A497D"/>
    <w:rsid w:val="006B41A1"/>
    <w:rsid w:val="006C4305"/>
    <w:rsid w:val="006D5592"/>
    <w:rsid w:val="00723FBB"/>
    <w:rsid w:val="00725572"/>
    <w:rsid w:val="0073755E"/>
    <w:rsid w:val="00737A27"/>
    <w:rsid w:val="007529D0"/>
    <w:rsid w:val="00753C16"/>
    <w:rsid w:val="007A00E8"/>
    <w:rsid w:val="007A3297"/>
    <w:rsid w:val="007A6ED2"/>
    <w:rsid w:val="007B55B4"/>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C5D03"/>
    <w:rsid w:val="008C7F96"/>
    <w:rsid w:val="008D39A8"/>
    <w:rsid w:val="008E490F"/>
    <w:rsid w:val="008F37FF"/>
    <w:rsid w:val="008F5CAA"/>
    <w:rsid w:val="00900ED6"/>
    <w:rsid w:val="00951150"/>
    <w:rsid w:val="0095324A"/>
    <w:rsid w:val="00953C23"/>
    <w:rsid w:val="0096127B"/>
    <w:rsid w:val="00967EC4"/>
    <w:rsid w:val="00993FFC"/>
    <w:rsid w:val="009B2113"/>
    <w:rsid w:val="009C1C01"/>
    <w:rsid w:val="009C376C"/>
    <w:rsid w:val="009D0EC6"/>
    <w:rsid w:val="009D330A"/>
    <w:rsid w:val="009D43D1"/>
    <w:rsid w:val="009D58A7"/>
    <w:rsid w:val="009E297C"/>
    <w:rsid w:val="00A04FAE"/>
    <w:rsid w:val="00A239B3"/>
    <w:rsid w:val="00A25D6E"/>
    <w:rsid w:val="00A262A5"/>
    <w:rsid w:val="00A3432E"/>
    <w:rsid w:val="00A42EB8"/>
    <w:rsid w:val="00A53E77"/>
    <w:rsid w:val="00A615F1"/>
    <w:rsid w:val="00A706C8"/>
    <w:rsid w:val="00A736ED"/>
    <w:rsid w:val="00A81865"/>
    <w:rsid w:val="00A825B5"/>
    <w:rsid w:val="00A83879"/>
    <w:rsid w:val="00A95B11"/>
    <w:rsid w:val="00AC1350"/>
    <w:rsid w:val="00AD0BB9"/>
    <w:rsid w:val="00B007C8"/>
    <w:rsid w:val="00B05993"/>
    <w:rsid w:val="00B132E9"/>
    <w:rsid w:val="00B60721"/>
    <w:rsid w:val="00B6522F"/>
    <w:rsid w:val="00B67A9E"/>
    <w:rsid w:val="00B74CCE"/>
    <w:rsid w:val="00B815AC"/>
    <w:rsid w:val="00B84681"/>
    <w:rsid w:val="00B92C71"/>
    <w:rsid w:val="00B96D8F"/>
    <w:rsid w:val="00BC5647"/>
    <w:rsid w:val="00BD2BDC"/>
    <w:rsid w:val="00BD58F0"/>
    <w:rsid w:val="00BE6B5B"/>
    <w:rsid w:val="00BE6DF3"/>
    <w:rsid w:val="00BF093F"/>
    <w:rsid w:val="00BF2764"/>
    <w:rsid w:val="00C12347"/>
    <w:rsid w:val="00C2239E"/>
    <w:rsid w:val="00C5174D"/>
    <w:rsid w:val="00C51E09"/>
    <w:rsid w:val="00C57B85"/>
    <w:rsid w:val="00C63BEE"/>
    <w:rsid w:val="00C7051D"/>
    <w:rsid w:val="00C76A23"/>
    <w:rsid w:val="00C77CA6"/>
    <w:rsid w:val="00C8228F"/>
    <w:rsid w:val="00C96C2F"/>
    <w:rsid w:val="00CC3D6F"/>
    <w:rsid w:val="00CC47BA"/>
    <w:rsid w:val="00CD29AE"/>
    <w:rsid w:val="00CE472E"/>
    <w:rsid w:val="00CE7C4E"/>
    <w:rsid w:val="00CF4F30"/>
    <w:rsid w:val="00D22EF7"/>
    <w:rsid w:val="00D25868"/>
    <w:rsid w:val="00D632F1"/>
    <w:rsid w:val="00D8669F"/>
    <w:rsid w:val="00DB0231"/>
    <w:rsid w:val="00DC0879"/>
    <w:rsid w:val="00DE6DE8"/>
    <w:rsid w:val="00E03AF9"/>
    <w:rsid w:val="00E104B4"/>
    <w:rsid w:val="00E115D0"/>
    <w:rsid w:val="00E22DE4"/>
    <w:rsid w:val="00E233E9"/>
    <w:rsid w:val="00E32EC0"/>
    <w:rsid w:val="00E4103C"/>
    <w:rsid w:val="00E42C47"/>
    <w:rsid w:val="00E6642D"/>
    <w:rsid w:val="00E745C7"/>
    <w:rsid w:val="00E82B77"/>
    <w:rsid w:val="00E904F2"/>
    <w:rsid w:val="00EA5895"/>
    <w:rsid w:val="00EB5EFC"/>
    <w:rsid w:val="00EB7129"/>
    <w:rsid w:val="00EC10A2"/>
    <w:rsid w:val="00EC3348"/>
    <w:rsid w:val="00EE0A42"/>
    <w:rsid w:val="00F00FDB"/>
    <w:rsid w:val="00F04DB8"/>
    <w:rsid w:val="00F06045"/>
    <w:rsid w:val="00F07089"/>
    <w:rsid w:val="00F21E99"/>
    <w:rsid w:val="00F4454F"/>
    <w:rsid w:val="00F50409"/>
    <w:rsid w:val="00F55CF5"/>
    <w:rsid w:val="00F96845"/>
    <w:rsid w:val="00FA62A5"/>
    <w:rsid w:val="00FB196D"/>
    <w:rsid w:val="00FD5A75"/>
    <w:rsid w:val="03BF6C67"/>
    <w:rsid w:val="08A14C58"/>
    <w:rsid w:val="10732502"/>
    <w:rsid w:val="161534A9"/>
    <w:rsid w:val="212326B2"/>
    <w:rsid w:val="2534229A"/>
    <w:rsid w:val="2A2777B4"/>
    <w:rsid w:val="3D8A5DCF"/>
    <w:rsid w:val="483430A4"/>
    <w:rsid w:val="4E6F61BB"/>
    <w:rsid w:val="5FA8692E"/>
    <w:rsid w:val="626F35C2"/>
    <w:rsid w:val="72CD042F"/>
    <w:rsid w:val="789F4F72"/>
    <w:rsid w:val="7CE908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autoRedefine/>
    <w:qFormat/>
    <w:uiPriority w:val="0"/>
  </w:style>
  <w:style w:type="character" w:customStyle="1" w:styleId="8">
    <w:name w:val="页眉 Char"/>
    <w:basedOn w:val="6"/>
    <w:link w:val="4"/>
    <w:autoRedefine/>
    <w:qFormat/>
    <w:uiPriority w:val="99"/>
    <w:rPr>
      <w:sz w:val="18"/>
      <w:szCs w:val="18"/>
    </w:rPr>
  </w:style>
  <w:style w:type="character" w:customStyle="1" w:styleId="9">
    <w:name w:val="页脚 Char"/>
    <w:basedOn w:val="6"/>
    <w:link w:val="3"/>
    <w:autoRedefine/>
    <w:qFormat/>
    <w:uiPriority w:val="99"/>
    <w:rPr>
      <w:sz w:val="18"/>
      <w:szCs w:val="18"/>
    </w:rPr>
  </w:style>
  <w:style w:type="character" w:customStyle="1" w:styleId="10">
    <w:name w:val="批注框文本 Char"/>
    <w:basedOn w:val="6"/>
    <w:link w:val="2"/>
    <w:autoRedefine/>
    <w:semiHidden/>
    <w:qFormat/>
    <w:uiPriority w:val="99"/>
    <w:rPr>
      <w:rFonts w:ascii="Times New Roman" w:hAnsi="Times New Roman" w:eastAsia="宋体" w:cs="Times New Roman"/>
      <w:sz w:val="18"/>
      <w:szCs w:val="18"/>
    </w:rPr>
  </w:style>
  <w:style w:type="paragraph" w:styleId="11">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4D8E-CF09-4C75-BE01-AB658598F645}">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18</Pages>
  <Words>1104</Words>
  <Characters>6299</Characters>
  <Lines>52</Lines>
  <Paragraphs>14</Paragraphs>
  <TotalTime>406</TotalTime>
  <ScaleCrop>false</ScaleCrop>
  <LinksUpToDate>false</LinksUpToDate>
  <CharactersWithSpaces>7389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不忘初心、方得始终</cp:lastModifiedBy>
  <cp:lastPrinted>2021-01-27T11:28:00Z</cp:lastPrinted>
  <dcterms:modified xsi:type="dcterms:W3CDTF">2024-03-03T08:58:21Z</dcterms:modified>
  <cp:revision>324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5134F15BE51F4C75A47A4EC2257E2D97_13</vt:lpwstr>
  </property>
</Properties>
</file>