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p>
    <w:p>
      <w:pPr>
        <w:pStyle w:val="2"/>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textAlignment w:val="auto"/>
        <w:rPr>
          <w:rFonts w:hint="default" w:ascii="Times New Roman" w:hAnsi="Times New Roman" w:cs="Times New Roman"/>
        </w:rPr>
      </w:pP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审计局</w:t>
      </w:r>
      <w:r>
        <w:rPr>
          <w:rFonts w:hint="default" w:ascii="Times New Roman" w:hAnsi="Times New Roman" w:eastAsia="仿宋_GB2312" w:cs="Times New Roman"/>
          <w:sz w:val="44"/>
          <w:szCs w:val="44"/>
          <w:lang w:val="en-US" w:eastAsia="zh-CN"/>
        </w:rPr>
        <w:t>2024</w:t>
      </w:r>
      <w:r>
        <w:rPr>
          <w:rFonts w:hint="default" w:ascii="Times New Roman" w:hAnsi="Times New Roman" w:eastAsia="方正小标宋简体" w:cs="Times New Roman"/>
          <w:sz w:val="44"/>
          <w:szCs w:val="44"/>
        </w:rPr>
        <w:t>年度部门预算</w:t>
      </w: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仿宋" w:cs="Times New Roman"/>
          <w:sz w:val="32"/>
          <w:szCs w:val="32"/>
        </w:rPr>
      </w:pPr>
    </w:p>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2024年 2 月 23日</w:t>
      </w: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rPr>
          <w:rFonts w:hint="default" w:ascii="Times New Roman" w:hAnsi="Times New Roman" w:eastAsia="方正小标宋简体" w:cs="Times New Roman"/>
          <w:sz w:val="44"/>
          <w:szCs w:val="44"/>
        </w:rPr>
      </w:pPr>
    </w:p>
    <w:p>
      <w:pPr>
        <w:pStyle w:val="2"/>
        <w:rPr>
          <w:rFonts w:hint="default" w:ascii="Times New Roman" w:hAnsi="Times New Roman" w:cs="Times New Roman"/>
        </w:rPr>
      </w:pPr>
    </w:p>
    <w:p>
      <w:pPr>
        <w:keepNext w:val="0"/>
        <w:keepLines w:val="0"/>
        <w:pageBreakBefore w:val="0"/>
        <w:kinsoku/>
        <w:wordWrap/>
        <w:overflowPunct/>
        <w:topLinePunct w:val="0"/>
        <w:bidi w:val="0"/>
        <w:snapToGrid/>
        <w:spacing w:line="576" w:lineRule="exact"/>
        <w:jc w:val="both"/>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bidi w:val="0"/>
        <w:snapToGrid/>
        <w:spacing w:line="576" w:lineRule="exact"/>
        <w:ind w:firstLine="3520" w:firstLineChars="800"/>
        <w:jc w:val="both"/>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目  录</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第一部分  审计局概况</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一、主要职能</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二、部门预算单位构成</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第二部分  审计局</w:t>
      </w:r>
      <w:r>
        <w:rPr>
          <w:rFonts w:hint="default" w:ascii="Times New Roman" w:hAnsi="Times New Roman" w:eastAsia="仿宋_GB2312" w:cs="Times New Roman"/>
          <w:sz w:val="32"/>
          <w:szCs w:val="32"/>
          <w:lang w:val="en-US" w:eastAsia="zh-CN"/>
        </w:rPr>
        <w:t>2024</w:t>
      </w:r>
      <w:r>
        <w:rPr>
          <w:rFonts w:hint="default" w:ascii="Times New Roman" w:hAnsi="Times New Roman" w:eastAsia="黑体" w:cs="Times New Roman"/>
          <w:sz w:val="32"/>
          <w:szCs w:val="32"/>
        </w:rPr>
        <w:t>年度部门预算明细表</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一、部门收支总体情况表</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二、部门收入总体情况表</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三、部门支出总体情况表</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四、财政拨款收支总体情况表</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五、一般公共预算支出情况表（按功能分类科目）</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六、一般公共预算基本支出情况表（按经济分类款级科目）</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七、一般公共预算“三公”经费支出情况表</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八、政府性基金“三公”经费支出情况表</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九、政府性基金预算支出情况表</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十、政府购买服务预算表</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十一、项目支出绩效表</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第三部分  审计局</w:t>
      </w:r>
      <w:r>
        <w:rPr>
          <w:rFonts w:hint="default" w:ascii="Times New Roman" w:hAnsi="Times New Roman" w:eastAsia="仿宋_GB2312" w:cs="Times New Roman"/>
          <w:sz w:val="32"/>
          <w:szCs w:val="32"/>
          <w:lang w:val="en-US" w:eastAsia="zh-CN"/>
        </w:rPr>
        <w:t>2024</w:t>
      </w:r>
      <w:r>
        <w:rPr>
          <w:rFonts w:hint="default" w:ascii="Times New Roman" w:hAnsi="Times New Roman" w:eastAsia="黑体" w:cs="Times New Roman"/>
          <w:sz w:val="32"/>
          <w:szCs w:val="32"/>
        </w:rPr>
        <w:t>年度部门预算数据分析</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第四部分  名词解释</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p>
    <w:p>
      <w:pPr>
        <w:pStyle w:val="2"/>
        <w:keepNext w:val="0"/>
        <w:keepLines w:val="0"/>
        <w:pageBreakBefore w:val="0"/>
        <w:kinsoku/>
        <w:wordWrap/>
        <w:overflowPunct/>
        <w:topLinePunct w:val="0"/>
        <w:bidi w:val="0"/>
        <w:snapToGrid/>
        <w:spacing w:line="576" w:lineRule="exact"/>
        <w:textAlignment w:val="auto"/>
        <w:rPr>
          <w:rFonts w:hint="default" w:ascii="Times New Roman" w:hAnsi="Times New Roman" w:cs="Times New Roman"/>
        </w:rPr>
      </w:pPr>
    </w:p>
    <w:p>
      <w:pPr>
        <w:rPr>
          <w:rFonts w:hint="default" w:ascii="Times New Roman" w:hAnsi="Times New Roman" w:cs="Times New Roman"/>
        </w:rPr>
      </w:pPr>
    </w:p>
    <w:p>
      <w:pPr>
        <w:pStyle w:val="2"/>
        <w:keepNext w:val="0"/>
        <w:keepLines w:val="0"/>
        <w:pageBreakBefore w:val="0"/>
        <w:kinsoku/>
        <w:wordWrap/>
        <w:overflowPunct/>
        <w:topLinePunct w:val="0"/>
        <w:bidi w:val="0"/>
        <w:snapToGrid/>
        <w:spacing w:line="576" w:lineRule="exact"/>
        <w:textAlignment w:val="auto"/>
        <w:rPr>
          <w:rFonts w:hint="default" w:ascii="Times New Roman" w:hAnsi="Times New Roman" w:cs="Times New Roman"/>
        </w:rPr>
      </w:pP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第一部分</w:t>
      </w: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审计局</w:t>
      </w:r>
      <w:r>
        <w:rPr>
          <w:rFonts w:hint="default" w:ascii="Times New Roman" w:hAnsi="Times New Roman" w:eastAsia="黑体" w:cs="Times New Roman"/>
          <w:sz w:val="32"/>
          <w:szCs w:val="32"/>
        </w:rPr>
        <w:t>（部门）概况</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lang w:val="en-US" w:eastAsia="zh-CN"/>
        </w:rPr>
        <w:t xml:space="preserve">    </w:t>
      </w:r>
      <w:r>
        <w:rPr>
          <w:rFonts w:hint="default" w:ascii="Times New Roman" w:hAnsi="Times New Roman" w:eastAsia="楷体" w:cs="Times New Roman"/>
          <w:sz w:val="32"/>
          <w:szCs w:val="32"/>
        </w:rPr>
        <w:t>一、主要职能</w:t>
      </w:r>
    </w:p>
    <w:p>
      <w:pPr>
        <w:pStyle w:val="7"/>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1、贯彻执行审计法律、法规、规章和方针政策；严格执行审计工作规章制度。</w:t>
      </w:r>
    </w:p>
    <w:p>
      <w:pPr>
        <w:pStyle w:val="7"/>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sz w:val="32"/>
          <w:szCs w:val="32"/>
        </w:rPr>
        <w:t>、组织实施国家重大决策部署和宏观调控措施落实情况的跟踪审计。</w:t>
      </w:r>
    </w:p>
    <w:p>
      <w:pPr>
        <w:pStyle w:val="7"/>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3、负责对国家财政收支和法律法规规定属于审计监督范围的财务收支的真实、合法和效益进行审计监督。</w:t>
      </w:r>
    </w:p>
    <w:p>
      <w:pPr>
        <w:pStyle w:val="7"/>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4、对审计、专项审计调查和核查社会审计组织相关审计报告的结果承担责任。</w:t>
      </w:r>
    </w:p>
    <w:p>
      <w:pPr>
        <w:pStyle w:val="7"/>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5、向县政府提交同级预算执行情况的审计结果报告；受县政府委托向县人大常委会提出同级预算执行情况和其他财政收支审计工作报告。</w:t>
      </w:r>
    </w:p>
    <w:p>
      <w:pPr>
        <w:pStyle w:val="7"/>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6、对本县预算执行情况、本县各部门（含直属单位）预算执行情况、决算及预算外资金的管理和使用情况进行审计监督；对乡镇人民政府预算执行情况、决算及其他财政资金的管理和使用情况进行审计监督。</w:t>
      </w:r>
    </w:p>
    <w:p>
      <w:pPr>
        <w:pStyle w:val="7"/>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7、对使用财政资金的县属事业单位、社会团体和受县政府委托管理的社会保障基金、环境保护资金、社会捐赠资金以及其他有关基金、资金的财务收支进行审计监督。</w:t>
      </w:r>
    </w:p>
    <w:p>
      <w:pPr>
        <w:pStyle w:val="7"/>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8、组织实施全县经济责任审计工作；按规定对县管领导干部及依法属于县审计局审计监督对象的其他单位主要负责人进行经济责任审计。</w:t>
      </w:r>
    </w:p>
    <w:p>
      <w:pPr>
        <w:pStyle w:val="7"/>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9、按审计法规定和上级审计机关、县政府授权，对国有金融机构和地方金融组织的资产、负债、损益进行审计监督。</w:t>
      </w:r>
    </w:p>
    <w:p>
      <w:pPr>
        <w:pStyle w:val="7"/>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10、组织实施政府投资项目审计，强化程序、造价、资金、质量和绩效等方面的审计监督，实现结（决）算审计全覆盖。</w:t>
      </w:r>
    </w:p>
    <w:p>
      <w:pPr>
        <w:pStyle w:val="7"/>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11、对县属国有企业、国有资产占控股地位或者主导地位的企业和上级审计机关授权的在开企业的资产、负债、损益进行审计监督；配合和参与上级审计机关安排的有关审计项目。</w:t>
      </w:r>
    </w:p>
    <w:p>
      <w:pPr>
        <w:pStyle w:val="7"/>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12、对法律法规规定应当由审计机关审计的其他事项进行审计监督。</w:t>
      </w:r>
    </w:p>
    <w:p>
      <w:pPr>
        <w:pStyle w:val="7"/>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13、依法检查审计决定执行情况，督促纠正和处理审计发现的问题，依法办理被审计单位对审计决定提请行政复议、行政诉讼或县政府裁决中的有关事项。</w:t>
      </w:r>
    </w:p>
    <w:p>
      <w:pPr>
        <w:pStyle w:val="7"/>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14、负责审计整改的督促检查，以及本级预算执行和其他财政收支审计查出问题的整改工作，建立整改检查工作机制。</w:t>
      </w:r>
    </w:p>
    <w:p>
      <w:pPr>
        <w:pStyle w:val="7"/>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15、指导和监督内部审计工作，核查社会审计组织对依法属于审计监督对象的单位出具的相关审计报告。</w:t>
      </w:r>
    </w:p>
    <w:p>
      <w:pPr>
        <w:pStyle w:val="7"/>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16、承办县政府和上级审计机关交办的其他事项。</w:t>
      </w:r>
    </w:p>
    <w:p>
      <w:pPr>
        <w:keepNext w:val="0"/>
        <w:keepLines w:val="0"/>
        <w:pageBreakBefore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二、部门预算单位构成</w:t>
      </w:r>
    </w:p>
    <w:p>
      <w:pPr>
        <w:keepNext w:val="0"/>
        <w:keepLines w:val="0"/>
        <w:pageBreakBefore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审计局下设局长、综合</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kern w:val="0"/>
          <w:sz w:val="32"/>
          <w:szCs w:val="32"/>
          <w:lang w:val="en-US" w:eastAsia="zh-CN" w:bidi="ar"/>
        </w:rPr>
        <w:t>个办公室；安多县审计局属一级预算单位，无二级预算单位。</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方正小标宋简体" w:cs="Times New Roman"/>
          <w:sz w:val="32"/>
          <w:szCs w:val="32"/>
        </w:rPr>
      </w:pP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方正小标宋简体" w:cs="Times New Roman"/>
          <w:sz w:val="32"/>
          <w:szCs w:val="32"/>
        </w:rPr>
      </w:pPr>
    </w:p>
    <w:p>
      <w:pPr>
        <w:pStyle w:val="2"/>
        <w:rPr>
          <w:rFonts w:hint="default" w:ascii="Times New Roman" w:hAnsi="Times New Roman" w:eastAsia="方正小标宋简体" w:cs="Times New Roman"/>
          <w:sz w:val="32"/>
          <w:szCs w:val="32"/>
        </w:rPr>
      </w:pPr>
    </w:p>
    <w:p>
      <w:pPr>
        <w:rPr>
          <w:rFonts w:hint="default" w:ascii="Times New Roman" w:hAnsi="Times New Roman" w:eastAsia="方正小标宋简体" w:cs="Times New Roman"/>
          <w:sz w:val="32"/>
          <w:szCs w:val="32"/>
        </w:rPr>
      </w:pPr>
    </w:p>
    <w:p>
      <w:pPr>
        <w:pStyle w:val="2"/>
        <w:rPr>
          <w:rFonts w:hint="default" w:ascii="Times New Roman" w:hAnsi="Times New Roman" w:eastAsia="方正小标宋简体" w:cs="Times New Roman"/>
          <w:sz w:val="32"/>
          <w:szCs w:val="32"/>
        </w:rPr>
      </w:pPr>
    </w:p>
    <w:p>
      <w:pPr>
        <w:rPr>
          <w:rFonts w:hint="default" w:ascii="Times New Roman" w:hAnsi="Times New Roman" w:eastAsia="方正小标宋简体" w:cs="Times New Roman"/>
          <w:sz w:val="32"/>
          <w:szCs w:val="32"/>
        </w:rPr>
      </w:pPr>
    </w:p>
    <w:p>
      <w:pPr>
        <w:pStyle w:val="2"/>
        <w:rPr>
          <w:rFonts w:hint="default" w:ascii="Times New Roman" w:hAnsi="Times New Roman" w:eastAsia="方正小标宋简体" w:cs="Times New Roman"/>
          <w:sz w:val="32"/>
          <w:szCs w:val="32"/>
        </w:rPr>
      </w:pPr>
    </w:p>
    <w:p>
      <w:pPr>
        <w:rPr>
          <w:rFonts w:hint="default" w:ascii="Times New Roman" w:hAnsi="Times New Roman" w:eastAsia="方正小标宋简体" w:cs="Times New Roman"/>
          <w:sz w:val="32"/>
          <w:szCs w:val="32"/>
        </w:rPr>
      </w:pPr>
    </w:p>
    <w:p>
      <w:pPr>
        <w:pStyle w:val="2"/>
        <w:rPr>
          <w:rFonts w:hint="default" w:ascii="Times New Roman" w:hAnsi="Times New Roman" w:eastAsia="方正小标宋简体" w:cs="Times New Roman"/>
          <w:sz w:val="32"/>
          <w:szCs w:val="32"/>
        </w:rPr>
      </w:pPr>
    </w:p>
    <w:p>
      <w:pPr>
        <w:rPr>
          <w:rFonts w:hint="default" w:ascii="Times New Roman" w:hAnsi="Times New Roman" w:cs="Times New Roman"/>
        </w:rPr>
      </w:pP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方正小标宋简体" w:cs="Times New Roman"/>
          <w:sz w:val="32"/>
          <w:szCs w:val="32"/>
        </w:rPr>
      </w:pP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方正小标宋简体" w:cs="Times New Roman"/>
          <w:sz w:val="32"/>
          <w:szCs w:val="32"/>
        </w:rPr>
      </w:pPr>
    </w:p>
    <w:p>
      <w:pPr>
        <w:keepNext w:val="0"/>
        <w:keepLines w:val="0"/>
        <w:pageBreakBefore w:val="0"/>
        <w:kinsoku/>
        <w:wordWrap/>
        <w:overflowPunct/>
        <w:topLinePunct w:val="0"/>
        <w:bidi w:val="0"/>
        <w:snapToGrid/>
        <w:spacing w:line="576" w:lineRule="exact"/>
        <w:jc w:val="both"/>
        <w:textAlignment w:val="auto"/>
        <w:rPr>
          <w:rFonts w:hint="default" w:ascii="Times New Roman" w:hAnsi="Times New Roman" w:eastAsia="方正小标宋简体" w:cs="Times New Roman"/>
          <w:sz w:val="32"/>
          <w:szCs w:val="32"/>
        </w:rPr>
      </w:pP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第二部分</w:t>
      </w: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审计局（部门）</w:t>
      </w:r>
      <w:r>
        <w:rPr>
          <w:rFonts w:hint="default" w:ascii="Times New Roman" w:hAnsi="Times New Roman" w:eastAsia="仿宋_GB2312" w:cs="Times New Roman"/>
          <w:sz w:val="32"/>
          <w:szCs w:val="32"/>
          <w:lang w:val="en-US" w:eastAsia="zh-CN"/>
        </w:rPr>
        <w:t>2024</w:t>
      </w:r>
      <w:r>
        <w:rPr>
          <w:rFonts w:hint="default" w:ascii="Times New Roman" w:hAnsi="Times New Roman" w:eastAsia="黑体" w:cs="Times New Roman"/>
          <w:sz w:val="32"/>
          <w:szCs w:val="32"/>
        </w:rPr>
        <w:t>年度预算明细表</w:t>
      </w: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（表格详见附件）</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p>
    <w:p>
      <w:pPr>
        <w:pStyle w:val="2"/>
        <w:keepNext w:val="0"/>
        <w:keepLines w:val="0"/>
        <w:pageBreakBefore w:val="0"/>
        <w:kinsoku/>
        <w:wordWrap/>
        <w:overflowPunct/>
        <w:topLinePunct w:val="0"/>
        <w:bidi w:val="0"/>
        <w:snapToGrid/>
        <w:spacing w:line="576" w:lineRule="exact"/>
        <w:textAlignment w:val="auto"/>
        <w:rPr>
          <w:rFonts w:hint="default" w:ascii="Times New Roman" w:hAnsi="Times New Roman" w:cs="Times New Roman"/>
        </w:rPr>
      </w:pP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bidi w:val="0"/>
        <w:snapToGrid/>
        <w:spacing w:line="576" w:lineRule="exact"/>
        <w:jc w:val="both"/>
        <w:textAlignment w:val="auto"/>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rPr>
          <w:rFonts w:hint="default" w:ascii="Times New Roman" w:hAnsi="Times New Roman" w:cs="Times New Roman"/>
        </w:rPr>
      </w:pP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第三部分</w:t>
      </w: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审计局（部门）</w:t>
      </w:r>
      <w:r>
        <w:rPr>
          <w:rFonts w:hint="default" w:ascii="Times New Roman" w:hAnsi="Times New Roman" w:eastAsia="仿宋_GB2312" w:cs="Times New Roman"/>
          <w:sz w:val="32"/>
          <w:szCs w:val="32"/>
          <w:lang w:val="en-US" w:eastAsia="zh-CN"/>
        </w:rPr>
        <w:t>2024</w:t>
      </w:r>
      <w:r>
        <w:rPr>
          <w:rFonts w:hint="default" w:ascii="Times New Roman" w:hAnsi="Times New Roman" w:eastAsia="黑体" w:cs="Times New Roman"/>
          <w:sz w:val="32"/>
          <w:szCs w:val="32"/>
        </w:rPr>
        <w:t>年度部门预算数据分析</w:t>
      </w: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lang w:val="en-US" w:eastAsia="zh-CN"/>
        </w:rPr>
        <w:t xml:space="preserve">    </w:t>
      </w:r>
      <w:r>
        <w:rPr>
          <w:rFonts w:hint="default" w:ascii="Times New Roman" w:hAnsi="Times New Roman" w:eastAsia="楷体" w:cs="Times New Roman"/>
          <w:sz w:val="32"/>
          <w:szCs w:val="32"/>
        </w:rPr>
        <w:t>一、</w:t>
      </w:r>
      <w:r>
        <w:rPr>
          <w:rFonts w:hint="default" w:ascii="Times New Roman" w:hAnsi="Times New Roman" w:eastAsia="仿宋_GB2312" w:cs="Times New Roman"/>
          <w:sz w:val="32"/>
          <w:szCs w:val="32"/>
          <w:lang w:val="en-US" w:eastAsia="zh-CN"/>
        </w:rPr>
        <w:t>2024</w:t>
      </w:r>
      <w:r>
        <w:rPr>
          <w:rFonts w:hint="default" w:ascii="Times New Roman" w:hAnsi="Times New Roman" w:eastAsia="楷体" w:cs="Times New Roman"/>
          <w:sz w:val="32"/>
          <w:szCs w:val="32"/>
        </w:rPr>
        <w:t>年部门收支总表的说明</w:t>
      </w:r>
    </w:p>
    <w:p>
      <w:pPr>
        <w:keepNext w:val="0"/>
        <w:keepLines w:val="0"/>
        <w:pageBreakBefore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2024年收支总预算</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188.18</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万元。收入包括：一般公共预算拨款收入</w:t>
      </w:r>
      <w:r>
        <w:rPr>
          <w:rFonts w:hint="default" w:ascii="Times New Roman" w:hAnsi="Times New Roman" w:eastAsia="仿宋_GB2312" w:cs="Times New Roman"/>
          <w:sz w:val="32"/>
          <w:szCs w:val="32"/>
          <w:u w:val="single"/>
          <w:lang w:val="en-US" w:eastAsia="zh-CN"/>
        </w:rPr>
        <w:t>188.18</w:t>
      </w:r>
      <w:r>
        <w:rPr>
          <w:rFonts w:hint="default" w:ascii="Times New Roman" w:hAnsi="Times New Roman" w:eastAsia="仿宋_GB2312" w:cs="Times New Roman"/>
          <w:sz w:val="32"/>
          <w:szCs w:val="32"/>
          <w:lang w:val="en-US" w:eastAsia="zh-CN"/>
        </w:rPr>
        <w:t>万元</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楷体" w:cs="Times New Roman"/>
          <w:sz w:val="32"/>
          <w:szCs w:val="32"/>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楷体" w:cs="Times New Roman"/>
          <w:sz w:val="32"/>
          <w:szCs w:val="32"/>
        </w:rPr>
        <w:t>二、2024年度部门收入总表的说明</w:t>
      </w:r>
    </w:p>
    <w:p>
      <w:pPr>
        <w:keepNext w:val="0"/>
        <w:keepLines w:val="0"/>
        <w:pageBreakBefore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收入预算</w:t>
      </w:r>
      <w:r>
        <w:rPr>
          <w:rFonts w:hint="default" w:ascii="Times New Roman" w:hAnsi="Times New Roman" w:eastAsia="仿宋_GB2312" w:cs="Times New Roman"/>
          <w:sz w:val="32"/>
          <w:szCs w:val="32"/>
          <w:u w:val="single"/>
        </w:rPr>
        <w:t xml:space="preserve"> 188.18 </w:t>
      </w:r>
      <w:r>
        <w:rPr>
          <w:rFonts w:hint="default" w:ascii="Times New Roman" w:hAnsi="Times New Roman" w:eastAsia="仿宋_GB2312" w:cs="Times New Roman"/>
          <w:sz w:val="32"/>
          <w:szCs w:val="32"/>
        </w:rPr>
        <w:t>万元，其中：上年结转</w:t>
      </w:r>
      <w:r>
        <w:rPr>
          <w:rFonts w:hint="default" w:ascii="Times New Roman" w:hAnsi="Times New Roman" w:eastAsia="仿宋_GB2312" w:cs="Times New Roman"/>
          <w:sz w:val="32"/>
          <w:szCs w:val="32"/>
          <w:u w:val="single"/>
        </w:rPr>
        <w:t xml:space="preserve"> 0 </w:t>
      </w:r>
      <w:r>
        <w:rPr>
          <w:rFonts w:hint="default" w:ascii="Times New Roman" w:hAnsi="Times New Roman" w:eastAsia="仿宋_GB2312" w:cs="Times New Roman"/>
          <w:sz w:val="32"/>
          <w:szCs w:val="32"/>
        </w:rPr>
        <w:t>万元， 占</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u w:val="single"/>
        </w:rPr>
        <w:t>0</w:t>
      </w:r>
      <w:r>
        <w:rPr>
          <w:rFonts w:hint="default" w:ascii="Times New Roman" w:hAnsi="Times New Roman" w:eastAsia="仿宋_GB2312" w:cs="Times New Roman"/>
          <w:sz w:val="32"/>
          <w:szCs w:val="32"/>
        </w:rPr>
        <w:t>%；一般公共预算拨款收入</w:t>
      </w:r>
      <w:r>
        <w:rPr>
          <w:rFonts w:hint="default" w:ascii="Times New Roman" w:hAnsi="Times New Roman" w:eastAsia="仿宋_GB2312" w:cs="Times New Roman"/>
          <w:sz w:val="32"/>
          <w:szCs w:val="32"/>
          <w:u w:val="single"/>
        </w:rPr>
        <w:t xml:space="preserve"> 188.18 </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u w:val="single"/>
        </w:rPr>
        <w:t xml:space="preserve"> 100</w:t>
      </w:r>
      <w:r>
        <w:rPr>
          <w:rFonts w:hint="default" w:ascii="Times New Roman" w:hAnsi="Times New Roman" w:eastAsia="仿宋_GB2312" w:cs="Times New Roman"/>
          <w:sz w:val="32"/>
          <w:szCs w:val="32"/>
        </w:rPr>
        <w:t xml:space="preserve"> %。</w:t>
      </w:r>
      <w:r>
        <w:rPr>
          <w:rFonts w:hint="default" w:ascii="Times New Roman" w:hAnsi="Times New Roman" w:eastAsia="仿宋" w:cs="Times New Roman"/>
          <w:sz w:val="32"/>
          <w:szCs w:val="32"/>
        </w:rPr>
        <w:t xml:space="preserve"> </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lang w:val="en-US" w:eastAsia="zh-CN"/>
        </w:rPr>
        <w:t xml:space="preserve">    </w:t>
      </w:r>
      <w:r>
        <w:rPr>
          <w:rFonts w:hint="default" w:ascii="Times New Roman" w:hAnsi="Times New Roman" w:eastAsia="楷体" w:cs="Times New Roman"/>
          <w:sz w:val="32"/>
          <w:szCs w:val="32"/>
        </w:rPr>
        <w:t>三、2024年部门支出总表的说明</w:t>
      </w:r>
    </w:p>
    <w:p>
      <w:pPr>
        <w:keepNext w:val="0"/>
        <w:keepLines w:val="0"/>
        <w:pageBreakBefore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_GB2312" w:cs="Times New Roman"/>
          <w:sz w:val="32"/>
          <w:szCs w:val="32"/>
        </w:rPr>
        <w:t>2024年支出预算</w:t>
      </w:r>
      <w:r>
        <w:rPr>
          <w:rFonts w:hint="default" w:ascii="Times New Roman" w:hAnsi="Times New Roman" w:eastAsia="仿宋_GB2312" w:cs="Times New Roman"/>
          <w:sz w:val="32"/>
          <w:szCs w:val="32"/>
          <w:u w:val="single"/>
        </w:rPr>
        <w:t xml:space="preserve"> 188.18 </w:t>
      </w:r>
      <w:r>
        <w:rPr>
          <w:rFonts w:hint="default" w:ascii="Times New Roman" w:hAnsi="Times New Roman" w:eastAsia="仿宋_GB2312" w:cs="Times New Roman"/>
          <w:sz w:val="32"/>
          <w:szCs w:val="32"/>
        </w:rPr>
        <w:t>万元，其中：基本支出</w:t>
      </w:r>
      <w:r>
        <w:rPr>
          <w:rFonts w:hint="default" w:ascii="Times New Roman" w:hAnsi="Times New Roman" w:eastAsia="仿宋_GB2312" w:cs="Times New Roman"/>
          <w:sz w:val="32"/>
          <w:szCs w:val="32"/>
          <w:u w:val="single"/>
        </w:rPr>
        <w:t xml:space="preserve">   188.18</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u w:val="single"/>
        </w:rPr>
        <w:t xml:space="preserve"> 100 </w:t>
      </w:r>
      <w:r>
        <w:rPr>
          <w:rFonts w:hint="default" w:ascii="Times New Roman" w:hAnsi="Times New Roman" w:eastAsia="仿宋_GB2312" w:cs="Times New Roman"/>
          <w:sz w:val="32"/>
          <w:szCs w:val="32"/>
        </w:rPr>
        <w:t>%；项目支出</w:t>
      </w:r>
      <w:r>
        <w:rPr>
          <w:rFonts w:hint="default" w:ascii="Times New Roman" w:hAnsi="Times New Roman" w:eastAsia="仿宋_GB2312" w:cs="Times New Roman"/>
          <w:sz w:val="32"/>
          <w:szCs w:val="32"/>
          <w:u w:val="single"/>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u w:val="single"/>
        </w:rPr>
        <w:t>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楷体" w:cs="Times New Roman"/>
          <w:sz w:val="32"/>
          <w:szCs w:val="32"/>
        </w:rPr>
        <w:t>四、2024年财政拨款收支总表的说明</w:t>
      </w:r>
    </w:p>
    <w:p>
      <w:pPr>
        <w:keepNext w:val="0"/>
        <w:keepLines w:val="0"/>
        <w:pageBreakBefore w:val="0"/>
        <w:kinsoku/>
        <w:wordWrap/>
        <w:overflowPunct/>
        <w:topLinePunct w:val="0"/>
        <w:bidi w:val="0"/>
        <w:snapToGrid/>
        <w:spacing w:line="576"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2024年财政拨款收支总预算</w:t>
      </w:r>
      <w:r>
        <w:rPr>
          <w:rFonts w:hint="default" w:ascii="Times New Roman" w:hAnsi="Times New Roman" w:eastAsia="仿宋_GB2312" w:cs="Times New Roman"/>
          <w:sz w:val="32"/>
          <w:szCs w:val="32"/>
          <w:u w:val="single"/>
          <w:lang w:val="en-US" w:eastAsia="zh-CN"/>
        </w:rPr>
        <w:t>188.18</w:t>
      </w:r>
      <w:r>
        <w:rPr>
          <w:rFonts w:hint="default" w:ascii="Times New Roman" w:hAnsi="Times New Roman" w:eastAsia="仿宋_GB2312" w:cs="Times New Roman"/>
          <w:sz w:val="32"/>
          <w:szCs w:val="32"/>
        </w:rPr>
        <w:t>万元。收入为一般公共预算拨款，包括：一般公共预算当年拨款收入</w:t>
      </w:r>
      <w:r>
        <w:rPr>
          <w:rFonts w:hint="default" w:ascii="Times New Roman" w:hAnsi="Times New Roman" w:eastAsia="仿宋_GB2312" w:cs="Times New Roman"/>
          <w:sz w:val="32"/>
          <w:szCs w:val="32"/>
          <w:u w:val="single"/>
        </w:rPr>
        <w:t xml:space="preserve">188.18 </w:t>
      </w:r>
      <w:r>
        <w:rPr>
          <w:rFonts w:hint="default" w:ascii="Times New Roman" w:hAnsi="Times New Roman" w:eastAsia="仿宋_GB2312" w:cs="Times New Roman"/>
          <w:sz w:val="32"/>
          <w:szCs w:val="32"/>
        </w:rPr>
        <w:t>万元、上年结转</w:t>
      </w:r>
      <w:r>
        <w:rPr>
          <w:rFonts w:hint="default" w:ascii="Times New Roman" w:hAnsi="Times New Roman" w:eastAsia="仿宋_GB2312" w:cs="Times New Roman"/>
          <w:sz w:val="32"/>
          <w:szCs w:val="32"/>
          <w:u w:val="single"/>
        </w:rPr>
        <w:t>0</w:t>
      </w:r>
      <w:r>
        <w:rPr>
          <w:rFonts w:hint="default" w:ascii="Times New Roman" w:hAnsi="Times New Roman" w:eastAsia="仿宋_GB2312" w:cs="Times New Roman"/>
          <w:sz w:val="32"/>
          <w:szCs w:val="32"/>
        </w:rPr>
        <w:t>万元；支出包括：一般公共服务支出</w:t>
      </w:r>
      <w:r>
        <w:rPr>
          <w:rFonts w:hint="default" w:ascii="Times New Roman" w:hAnsi="Times New Roman" w:eastAsia="仿宋_GB2312" w:cs="Times New Roman"/>
          <w:sz w:val="32"/>
          <w:szCs w:val="32"/>
          <w:u w:val="single"/>
        </w:rPr>
        <w:t>141.08</w:t>
      </w:r>
      <w:r>
        <w:rPr>
          <w:rFonts w:hint="default" w:ascii="Times New Roman" w:hAnsi="Times New Roman" w:eastAsia="仿宋_GB2312" w:cs="Times New Roman"/>
          <w:sz w:val="32"/>
          <w:szCs w:val="32"/>
        </w:rPr>
        <w:t>万元、社会保障和就业支出</w:t>
      </w:r>
      <w:r>
        <w:rPr>
          <w:rFonts w:hint="default" w:ascii="Times New Roman" w:hAnsi="Times New Roman" w:eastAsia="仿宋_GB2312" w:cs="Times New Roman"/>
          <w:sz w:val="32"/>
          <w:szCs w:val="32"/>
          <w:u w:val="single"/>
        </w:rPr>
        <w:t>19.54</w:t>
      </w:r>
      <w:r>
        <w:rPr>
          <w:rFonts w:hint="default" w:ascii="Times New Roman" w:hAnsi="Times New Roman" w:eastAsia="仿宋_GB2312" w:cs="Times New Roman"/>
          <w:sz w:val="32"/>
          <w:szCs w:val="32"/>
        </w:rPr>
        <w:t>万元、卫生健康支出</w:t>
      </w:r>
      <w:r>
        <w:rPr>
          <w:rFonts w:hint="default" w:ascii="Times New Roman" w:hAnsi="Times New Roman" w:eastAsia="仿宋_GB2312" w:cs="Times New Roman"/>
          <w:sz w:val="32"/>
          <w:szCs w:val="32"/>
          <w:u w:val="single"/>
        </w:rPr>
        <w:t>12.99</w:t>
      </w:r>
      <w:r>
        <w:rPr>
          <w:rFonts w:hint="default" w:ascii="Times New Roman" w:hAnsi="Times New Roman" w:eastAsia="仿宋_GB2312" w:cs="Times New Roman"/>
          <w:sz w:val="32"/>
          <w:szCs w:val="32"/>
        </w:rPr>
        <w:t>万元、住房保障支出</w:t>
      </w:r>
      <w:r>
        <w:rPr>
          <w:rFonts w:hint="default" w:ascii="Times New Roman" w:hAnsi="Times New Roman" w:eastAsia="仿宋_GB2312" w:cs="Times New Roman"/>
          <w:sz w:val="32"/>
          <w:szCs w:val="32"/>
          <w:u w:val="single"/>
        </w:rPr>
        <w:t>14.57</w:t>
      </w:r>
      <w:r>
        <w:rPr>
          <w:rFonts w:hint="default" w:ascii="Times New Roman" w:hAnsi="Times New Roman" w:eastAsia="仿宋_GB2312" w:cs="Times New Roman"/>
          <w:sz w:val="32"/>
          <w:szCs w:val="32"/>
        </w:rPr>
        <w:t>万元。</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楷体" w:cs="Times New Roman"/>
          <w:sz w:val="32"/>
          <w:szCs w:val="32"/>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楷体" w:cs="Times New Roman"/>
          <w:sz w:val="32"/>
          <w:szCs w:val="32"/>
          <w:lang w:val="en-US" w:eastAsia="zh-CN"/>
        </w:rPr>
        <w:t xml:space="preserve"> </w:t>
      </w:r>
      <w:r>
        <w:rPr>
          <w:rFonts w:hint="default" w:ascii="Times New Roman" w:hAnsi="Times New Roman" w:eastAsia="楷体" w:cs="Times New Roman"/>
          <w:sz w:val="32"/>
          <w:szCs w:val="32"/>
        </w:rPr>
        <w:t>五、2024年一般公共预算支出表的说明</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（一）一般公共预算当年拨款规模变化情况。</w:t>
      </w:r>
    </w:p>
    <w:p>
      <w:pPr>
        <w:keepNext w:val="0"/>
        <w:keepLines w:val="0"/>
        <w:pageBreakBefore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2024年一般公共预算当年拨款</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188.18</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万元,比2023年执行数减少</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37.03</w:t>
      </w:r>
      <w:r>
        <w:rPr>
          <w:rFonts w:hint="default" w:ascii="Times New Roman" w:hAnsi="Times New Roman" w:eastAsia="仿宋_GB2312" w:cs="Times New Roman"/>
          <w:sz w:val="32"/>
          <w:szCs w:val="32"/>
        </w:rPr>
        <w:t>万元，主要原因</w:t>
      </w:r>
      <w:r>
        <w:rPr>
          <w:rFonts w:hint="default" w:ascii="Times New Roman" w:hAnsi="Times New Roman" w:eastAsia="仿宋_GB2312" w:cs="Times New Roman"/>
          <w:sz w:val="32"/>
          <w:szCs w:val="32"/>
          <w:lang w:eastAsia="zh-CN"/>
        </w:rPr>
        <w:t>项目减少。</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（二）一般公共预算当年拨款结构情况。</w:t>
      </w:r>
    </w:p>
    <w:p>
      <w:pPr>
        <w:keepNext w:val="0"/>
        <w:keepLines w:val="0"/>
        <w:pageBreakBefore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一般公共服务支出</w:t>
      </w:r>
      <w:r>
        <w:rPr>
          <w:rFonts w:hint="default" w:ascii="Times New Roman" w:hAnsi="Times New Roman" w:eastAsia="仿宋_GB2312" w:cs="Times New Roman"/>
          <w:sz w:val="32"/>
          <w:szCs w:val="32"/>
          <w:u w:val="single"/>
        </w:rPr>
        <w:t>141.08</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u w:val="single"/>
        </w:rPr>
        <w:t>74.97</w:t>
      </w:r>
      <w:r>
        <w:rPr>
          <w:rFonts w:hint="default" w:ascii="Times New Roman" w:hAnsi="Times New Roman" w:eastAsia="仿宋_GB2312" w:cs="Times New Roman"/>
          <w:sz w:val="32"/>
          <w:szCs w:val="32"/>
        </w:rPr>
        <w:t>%；社会保障和就业支出</w:t>
      </w:r>
      <w:r>
        <w:rPr>
          <w:rFonts w:hint="default" w:ascii="Times New Roman" w:hAnsi="Times New Roman" w:eastAsia="仿宋_GB2312" w:cs="Times New Roman"/>
          <w:sz w:val="32"/>
          <w:szCs w:val="32"/>
          <w:u w:val="single"/>
        </w:rPr>
        <w:t>19.54</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u w:val="single"/>
        </w:rPr>
        <w:t>10.38</w:t>
      </w:r>
      <w:r>
        <w:rPr>
          <w:rFonts w:hint="default" w:ascii="Times New Roman" w:hAnsi="Times New Roman" w:eastAsia="仿宋_GB2312" w:cs="Times New Roman"/>
          <w:sz w:val="32"/>
          <w:szCs w:val="32"/>
        </w:rPr>
        <w:t>%；卫生健康支出</w:t>
      </w:r>
      <w:r>
        <w:rPr>
          <w:rFonts w:hint="default" w:ascii="Times New Roman" w:hAnsi="Times New Roman" w:eastAsia="仿宋_GB2312" w:cs="Times New Roman"/>
          <w:sz w:val="32"/>
          <w:szCs w:val="32"/>
          <w:u w:val="single"/>
        </w:rPr>
        <w:t>12.99</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u w:val="single"/>
          <w:lang w:val="en-US" w:eastAsia="zh-CN"/>
        </w:rPr>
        <w:t>6.9</w:t>
      </w:r>
      <w:r>
        <w:rPr>
          <w:rFonts w:hint="default" w:ascii="Times New Roman" w:hAnsi="Times New Roman" w:eastAsia="仿宋_GB2312" w:cs="Times New Roman"/>
          <w:sz w:val="32"/>
          <w:szCs w:val="32"/>
        </w:rPr>
        <w:t>%；住房保障支出</w:t>
      </w:r>
      <w:r>
        <w:rPr>
          <w:rFonts w:hint="default" w:ascii="Times New Roman" w:hAnsi="Times New Roman" w:eastAsia="仿宋_GB2312" w:cs="Times New Roman"/>
          <w:sz w:val="32"/>
          <w:szCs w:val="32"/>
          <w:u w:val="single"/>
        </w:rPr>
        <w:t>14.57</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u w:val="single"/>
          <w:lang w:val="en-US" w:eastAsia="zh-CN"/>
        </w:rPr>
        <w:t>7.75</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（三）一般公共预算当年拨款具体使用情况。</w:t>
      </w:r>
    </w:p>
    <w:p>
      <w:pPr>
        <w:keepNext w:val="0"/>
        <w:keepLines w:val="0"/>
        <w:pageBreakBefore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对本部门一般公共预算支出功能分类项级科目增减变化进行说明。</w:t>
      </w:r>
    </w:p>
    <w:p>
      <w:pPr>
        <w:keepNext w:val="0"/>
        <w:keepLines w:val="0"/>
        <w:pageBreakBefore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1.一般公共服务支出（类）</w:t>
      </w:r>
      <w:r>
        <w:rPr>
          <w:rFonts w:hint="default" w:ascii="Times New Roman" w:hAnsi="Times New Roman" w:eastAsia="仿宋_GB2312" w:cs="Times New Roman"/>
          <w:sz w:val="32"/>
          <w:szCs w:val="32"/>
          <w:lang w:eastAsia="zh-CN"/>
        </w:rPr>
        <w:t>审计</w:t>
      </w:r>
      <w:r>
        <w:rPr>
          <w:rFonts w:hint="default" w:ascii="Times New Roman" w:hAnsi="Times New Roman" w:eastAsia="仿宋_GB2312" w:cs="Times New Roman"/>
          <w:sz w:val="32"/>
          <w:szCs w:val="32"/>
        </w:rPr>
        <w:t>事务（款）行政运行（项）2024年预算数为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141.08</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万元，比2023年</w:t>
      </w:r>
      <w:r>
        <w:rPr>
          <w:rFonts w:hint="default" w:ascii="Times New Roman" w:hAnsi="Times New Roman" w:eastAsia="仿宋_GB2312" w:cs="Times New Roman"/>
          <w:sz w:val="32"/>
          <w:szCs w:val="32"/>
          <w:highlight w:val="none"/>
        </w:rPr>
        <w:t>执行数</w:t>
      </w:r>
      <w:r>
        <w:rPr>
          <w:rFonts w:hint="default" w:ascii="Times New Roman" w:hAnsi="Times New Roman" w:eastAsia="仿宋_GB2312" w:cs="Times New Roman"/>
          <w:sz w:val="32"/>
          <w:szCs w:val="32"/>
          <w:lang w:eastAsia="zh-CN"/>
        </w:rPr>
        <w:t>增加</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26.8</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上升</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23.45</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%。主要是</w:t>
      </w:r>
      <w:r>
        <w:rPr>
          <w:rFonts w:hint="default" w:ascii="Times New Roman" w:hAnsi="Times New Roman" w:eastAsia="仿宋_GB2312" w:cs="Times New Roman"/>
          <w:sz w:val="32"/>
          <w:szCs w:val="32"/>
          <w:lang w:eastAsia="zh-CN"/>
        </w:rPr>
        <w:t>人员增加</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2.社会保障和就业支出（类）行政事业单位养老支出（款）机关事业单位基本养老保险缴费支出（项）2024年预算数为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19.42</w:t>
      </w:r>
      <w:r>
        <w:rPr>
          <w:rFonts w:hint="default" w:ascii="Times New Roman" w:hAnsi="Times New Roman" w:eastAsia="仿宋_GB2312" w:cs="Times New Roman"/>
          <w:sz w:val="32"/>
          <w:szCs w:val="32"/>
        </w:rPr>
        <w:t>万元，比2023 年执行数</w:t>
      </w:r>
      <w:r>
        <w:rPr>
          <w:rFonts w:hint="default" w:ascii="Times New Roman" w:hAnsi="Times New Roman" w:eastAsia="仿宋_GB2312" w:cs="Times New Roman"/>
          <w:sz w:val="32"/>
          <w:szCs w:val="32"/>
          <w:lang w:eastAsia="zh-CN"/>
        </w:rPr>
        <w:t>增加</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5.42</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增加</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38.71</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 xml:space="preserve"> %。主要是</w:t>
      </w:r>
      <w:r>
        <w:rPr>
          <w:rFonts w:hint="default" w:ascii="Times New Roman" w:hAnsi="Times New Roman" w:eastAsia="仿宋_GB2312" w:cs="Times New Roman"/>
          <w:sz w:val="32"/>
          <w:szCs w:val="32"/>
          <w:lang w:eastAsia="zh-CN"/>
        </w:rPr>
        <w:t>人员工资增加相应的保险配套增加。社会保障和就业支出（类）其他社会保障和就业支出（款）其他社会保障和就业支出（项）</w:t>
      </w:r>
      <w:r>
        <w:rPr>
          <w:rFonts w:hint="default" w:ascii="Times New Roman" w:hAnsi="Times New Roman" w:eastAsia="仿宋_GB2312" w:cs="Times New Roman"/>
          <w:sz w:val="32"/>
          <w:szCs w:val="32"/>
        </w:rPr>
        <w:t>2024年预算数为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0.12</w:t>
      </w:r>
      <w:r>
        <w:rPr>
          <w:rFonts w:hint="default" w:ascii="Times New Roman" w:hAnsi="Times New Roman" w:eastAsia="仿宋_GB2312" w:cs="Times New Roman"/>
          <w:sz w:val="32"/>
          <w:szCs w:val="32"/>
        </w:rPr>
        <w:t>万元，比2023 年执行数</w:t>
      </w:r>
      <w:r>
        <w:rPr>
          <w:rFonts w:hint="default" w:ascii="Times New Roman" w:hAnsi="Times New Roman" w:eastAsia="仿宋_GB2312" w:cs="Times New Roman"/>
          <w:sz w:val="32"/>
          <w:szCs w:val="32"/>
          <w:lang w:eastAsia="zh-CN"/>
        </w:rPr>
        <w:t>增加</w:t>
      </w:r>
      <w:r>
        <w:rPr>
          <w:rFonts w:hint="default" w:ascii="Times New Roman" w:hAnsi="Times New Roman" w:eastAsia="仿宋_GB2312" w:cs="Times New Roman"/>
          <w:sz w:val="32"/>
          <w:szCs w:val="32"/>
          <w:u w:val="single"/>
          <w:lang w:val="en-US" w:eastAsia="zh-CN"/>
        </w:rPr>
        <w:t>0.03</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增加</w:t>
      </w:r>
      <w:r>
        <w:rPr>
          <w:rFonts w:hint="default" w:ascii="Times New Roman" w:hAnsi="Times New Roman" w:eastAsia="仿宋_GB2312" w:cs="Times New Roman"/>
          <w:sz w:val="32"/>
          <w:szCs w:val="32"/>
          <w:u w:val="single"/>
          <w:lang w:val="en-US" w:eastAsia="zh-CN"/>
        </w:rPr>
        <w:t>33.33</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 xml:space="preserve"> %。主要是</w:t>
      </w:r>
      <w:r>
        <w:rPr>
          <w:rFonts w:hint="default" w:ascii="Times New Roman" w:hAnsi="Times New Roman" w:eastAsia="仿宋_GB2312" w:cs="Times New Roman"/>
          <w:sz w:val="32"/>
          <w:szCs w:val="32"/>
          <w:lang w:eastAsia="zh-CN"/>
        </w:rPr>
        <w:t>人员增加相应的保险配套增加。</w:t>
      </w:r>
    </w:p>
    <w:p>
      <w:pPr>
        <w:keepNext w:val="0"/>
        <w:keepLines w:val="0"/>
        <w:pageBreakBefore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卫生健康支出（类）</w:t>
      </w:r>
      <w:r>
        <w:rPr>
          <w:rFonts w:hint="default" w:ascii="Times New Roman" w:hAnsi="Times New Roman" w:eastAsia="仿宋_GB2312" w:cs="Times New Roman"/>
          <w:sz w:val="32"/>
          <w:szCs w:val="32"/>
          <w:lang w:eastAsia="zh-CN"/>
        </w:rPr>
        <w:t>行政事业单位医疗</w:t>
      </w:r>
      <w:r>
        <w:rPr>
          <w:rFonts w:hint="default" w:ascii="Times New Roman" w:hAnsi="Times New Roman" w:eastAsia="仿宋_GB2312" w:cs="Times New Roman"/>
          <w:sz w:val="32"/>
          <w:szCs w:val="32"/>
        </w:rPr>
        <w:t>（款）行政单位医疗（项）2024年预算数为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9.35</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万元，比2023年</w:t>
      </w:r>
      <w:r>
        <w:rPr>
          <w:rFonts w:hint="default" w:ascii="Times New Roman" w:hAnsi="Times New Roman" w:eastAsia="仿宋_GB2312" w:cs="Times New Roman"/>
          <w:sz w:val="32"/>
          <w:szCs w:val="32"/>
          <w:highlight w:val="none"/>
        </w:rPr>
        <w:t>执行数</w:t>
      </w:r>
      <w:r>
        <w:rPr>
          <w:rFonts w:hint="default" w:ascii="Times New Roman" w:hAnsi="Times New Roman" w:eastAsia="仿宋_GB2312" w:cs="Times New Roman"/>
          <w:sz w:val="32"/>
          <w:szCs w:val="32"/>
          <w:lang w:eastAsia="zh-CN"/>
        </w:rPr>
        <w:t>增加</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2.61</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增加</w:t>
      </w:r>
      <w:r>
        <w:rPr>
          <w:rFonts w:hint="default" w:ascii="Times New Roman" w:hAnsi="Times New Roman" w:eastAsia="仿宋_GB2312" w:cs="Times New Roman"/>
          <w:sz w:val="32"/>
          <w:szCs w:val="32"/>
          <w:u w:val="single"/>
          <w:lang w:val="en-US" w:eastAsia="zh-CN"/>
        </w:rPr>
        <w:t>38.72</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%。主要是</w:t>
      </w:r>
      <w:r>
        <w:rPr>
          <w:rFonts w:hint="default" w:ascii="Times New Roman" w:hAnsi="Times New Roman" w:eastAsia="仿宋_GB2312" w:cs="Times New Roman"/>
          <w:sz w:val="32"/>
          <w:szCs w:val="32"/>
          <w:lang w:eastAsia="zh-CN"/>
        </w:rPr>
        <w:t>人员工资增加相应的保险配套增加。卫生健康支出（类）行政事业单位（款）</w:t>
      </w:r>
      <w:r>
        <w:rPr>
          <w:rFonts w:hint="default" w:ascii="Times New Roman" w:hAnsi="Times New Roman" w:eastAsia="仿宋_GB2312" w:cs="Times New Roman"/>
          <w:sz w:val="32"/>
          <w:szCs w:val="32"/>
        </w:rPr>
        <w:t>公务员医疗补助（项）2024年预算数为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3.64</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万元，比2023年</w:t>
      </w:r>
      <w:r>
        <w:rPr>
          <w:rFonts w:hint="default" w:ascii="Times New Roman" w:hAnsi="Times New Roman" w:eastAsia="仿宋_GB2312" w:cs="Times New Roman"/>
          <w:sz w:val="32"/>
          <w:szCs w:val="32"/>
          <w:highlight w:val="none"/>
        </w:rPr>
        <w:t>执行数</w:t>
      </w:r>
      <w:r>
        <w:rPr>
          <w:rFonts w:hint="default" w:ascii="Times New Roman" w:hAnsi="Times New Roman" w:eastAsia="仿宋_GB2312" w:cs="Times New Roman"/>
          <w:sz w:val="32"/>
          <w:szCs w:val="32"/>
          <w:lang w:eastAsia="zh-CN"/>
        </w:rPr>
        <w:t>增加</w:t>
      </w:r>
      <w:r>
        <w:rPr>
          <w:rFonts w:hint="default" w:ascii="Times New Roman" w:hAnsi="Times New Roman" w:eastAsia="仿宋_GB2312" w:cs="Times New Roman"/>
          <w:sz w:val="32"/>
          <w:szCs w:val="32"/>
          <w:u w:val="single"/>
          <w:lang w:val="en-US" w:eastAsia="zh-CN"/>
        </w:rPr>
        <w:t>1.89</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增加</w:t>
      </w:r>
      <w:r>
        <w:rPr>
          <w:rFonts w:hint="default" w:ascii="Times New Roman" w:hAnsi="Times New Roman" w:eastAsia="仿宋_GB2312" w:cs="Times New Roman"/>
          <w:sz w:val="32"/>
          <w:szCs w:val="32"/>
          <w:u w:val="single"/>
          <w:lang w:val="en-US" w:eastAsia="zh-CN"/>
        </w:rPr>
        <w:t>108</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%。主要是</w:t>
      </w:r>
      <w:r>
        <w:rPr>
          <w:rFonts w:hint="default" w:ascii="Times New Roman" w:hAnsi="Times New Roman" w:eastAsia="仿宋_GB2312" w:cs="Times New Roman"/>
          <w:sz w:val="32"/>
          <w:szCs w:val="32"/>
          <w:lang w:eastAsia="zh-CN"/>
        </w:rPr>
        <w:t>人员增加相应的保险配套增加。</w:t>
      </w:r>
    </w:p>
    <w:p>
      <w:pPr>
        <w:keepNext w:val="0"/>
        <w:keepLines w:val="0"/>
        <w:pageBreakBefore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住房保障支出（类）</w:t>
      </w:r>
      <w:r>
        <w:rPr>
          <w:rFonts w:hint="default" w:ascii="Times New Roman" w:hAnsi="Times New Roman" w:eastAsia="仿宋_GB2312" w:cs="Times New Roman"/>
          <w:sz w:val="32"/>
          <w:szCs w:val="32"/>
          <w:lang w:eastAsia="zh-CN"/>
        </w:rPr>
        <w:t>住房改革支出</w:t>
      </w:r>
      <w:r>
        <w:rPr>
          <w:rFonts w:hint="default" w:ascii="Times New Roman" w:hAnsi="Times New Roman" w:eastAsia="仿宋_GB2312" w:cs="Times New Roman"/>
          <w:sz w:val="32"/>
          <w:szCs w:val="32"/>
        </w:rPr>
        <w:t>（款）住房公积金（项）2024年预算数为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14.57</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万元，比2023年</w:t>
      </w:r>
      <w:r>
        <w:rPr>
          <w:rFonts w:hint="default" w:ascii="Times New Roman" w:hAnsi="Times New Roman" w:eastAsia="仿宋_GB2312" w:cs="Times New Roman"/>
          <w:sz w:val="32"/>
          <w:szCs w:val="32"/>
          <w:highlight w:val="none"/>
        </w:rPr>
        <w:t>执行数</w:t>
      </w:r>
      <w:r>
        <w:rPr>
          <w:rFonts w:hint="default" w:ascii="Times New Roman" w:hAnsi="Times New Roman" w:eastAsia="仿宋_GB2312" w:cs="Times New Roman"/>
          <w:sz w:val="32"/>
          <w:szCs w:val="32"/>
          <w:lang w:eastAsia="zh-CN"/>
        </w:rPr>
        <w:t>增加</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2.38</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增加</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19.52</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%。主要是</w:t>
      </w:r>
      <w:r>
        <w:rPr>
          <w:rFonts w:hint="default" w:ascii="Times New Roman" w:hAnsi="Times New Roman" w:eastAsia="仿宋_GB2312" w:cs="Times New Roman"/>
          <w:sz w:val="32"/>
          <w:szCs w:val="32"/>
          <w:lang w:eastAsia="zh-CN"/>
        </w:rPr>
        <w:t>人员增加相应的住房公积金配套增加。</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黑体" w:cs="Times New Roman"/>
          <w:sz w:val="32"/>
          <w:szCs w:val="32"/>
        </w:rPr>
      </w:pPr>
      <w:r>
        <w:rPr>
          <w:rFonts w:hint="default" w:ascii="Times New Roman" w:hAnsi="Times New Roman" w:eastAsia="楷体" w:cs="Times New Roman"/>
          <w:sz w:val="32"/>
          <w:szCs w:val="32"/>
          <w:lang w:val="en-US" w:eastAsia="zh-CN"/>
        </w:rPr>
        <w:t xml:space="preserve">    </w:t>
      </w:r>
      <w:r>
        <w:rPr>
          <w:rFonts w:hint="default" w:ascii="Times New Roman" w:hAnsi="Times New Roman" w:eastAsia="楷体" w:cs="Times New Roman"/>
          <w:sz w:val="32"/>
          <w:szCs w:val="32"/>
        </w:rPr>
        <w:t>六、2024年一般公共预算基本支出表的说明</w:t>
      </w:r>
    </w:p>
    <w:p>
      <w:pPr>
        <w:keepNext w:val="0"/>
        <w:keepLines w:val="0"/>
        <w:pageBreakBefore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2024年一般公共预算基本支出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188.18</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万元，其中：</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人员经费</w:t>
      </w:r>
      <w:r>
        <w:rPr>
          <w:rFonts w:hint="default" w:ascii="Times New Roman" w:hAnsi="Times New Roman" w:eastAsia="仿宋_GB2312" w:cs="Times New Roman"/>
          <w:sz w:val="32"/>
          <w:szCs w:val="32"/>
          <w:u w:val="single"/>
        </w:rPr>
        <w:t xml:space="preserve"> 176.96 </w:t>
      </w:r>
      <w:r>
        <w:rPr>
          <w:rFonts w:hint="default" w:ascii="Times New Roman" w:hAnsi="Times New Roman" w:eastAsia="仿宋_GB2312" w:cs="Times New Roman"/>
          <w:sz w:val="32"/>
          <w:szCs w:val="32"/>
        </w:rPr>
        <w:t>万元，主要包括：工资性支出</w:t>
      </w:r>
      <w:r>
        <w:rPr>
          <w:rFonts w:hint="default" w:ascii="Times New Roman" w:hAnsi="Times New Roman" w:eastAsia="仿宋_GB2312" w:cs="Times New Roman"/>
          <w:sz w:val="32"/>
          <w:szCs w:val="32"/>
          <w:u w:val="single"/>
        </w:rPr>
        <w:t xml:space="preserve"> 176.96</w:t>
      </w:r>
      <w:r>
        <w:rPr>
          <w:rFonts w:hint="default" w:ascii="Times New Roman" w:hAnsi="Times New Roman" w:eastAsia="仿宋_GB2312" w:cs="Times New Roman"/>
          <w:sz w:val="32"/>
          <w:szCs w:val="32"/>
        </w:rPr>
        <w:t>万元（基本工资</w:t>
      </w:r>
      <w:r>
        <w:rPr>
          <w:rFonts w:hint="default" w:ascii="Times New Roman" w:hAnsi="Times New Roman" w:eastAsia="仿宋_GB2312" w:cs="Times New Roman"/>
          <w:sz w:val="32"/>
          <w:szCs w:val="32"/>
          <w:u w:val="single"/>
          <w:lang w:val="en-US" w:eastAsia="zh-CN"/>
        </w:rPr>
        <w:t>19.3万元</w:t>
      </w:r>
      <w:r>
        <w:rPr>
          <w:rFonts w:hint="default" w:ascii="Times New Roman" w:hAnsi="Times New Roman" w:eastAsia="仿宋_GB2312" w:cs="Times New Roman"/>
          <w:sz w:val="32"/>
          <w:szCs w:val="32"/>
        </w:rPr>
        <w:t>、津贴补贴</w:t>
      </w:r>
      <w:r>
        <w:rPr>
          <w:rFonts w:hint="default" w:ascii="Times New Roman" w:hAnsi="Times New Roman" w:eastAsia="仿宋_GB2312" w:cs="Times New Roman"/>
          <w:sz w:val="32"/>
          <w:szCs w:val="32"/>
          <w:u w:val="single"/>
          <w:lang w:val="en-US" w:eastAsia="zh-CN"/>
        </w:rPr>
        <w:t>91.68万元</w:t>
      </w:r>
      <w:r>
        <w:rPr>
          <w:rFonts w:hint="default" w:ascii="Times New Roman" w:hAnsi="Times New Roman" w:eastAsia="仿宋_GB2312" w:cs="Times New Roman"/>
          <w:sz w:val="32"/>
          <w:szCs w:val="32"/>
        </w:rPr>
        <w:t>、奖金</w:t>
      </w:r>
      <w:r>
        <w:rPr>
          <w:rFonts w:hint="default" w:ascii="Times New Roman" w:hAnsi="Times New Roman" w:eastAsia="仿宋_GB2312" w:cs="Times New Roman"/>
          <w:sz w:val="32"/>
          <w:szCs w:val="32"/>
          <w:u w:val="single"/>
          <w:lang w:val="en-US" w:eastAsia="zh-CN"/>
        </w:rPr>
        <w:t>8.59万元</w:t>
      </w:r>
      <w:r>
        <w:rPr>
          <w:rFonts w:hint="default" w:ascii="Times New Roman" w:hAnsi="Times New Roman" w:eastAsia="仿宋_GB2312" w:cs="Times New Roman"/>
          <w:sz w:val="32"/>
          <w:szCs w:val="32"/>
        </w:rPr>
        <w:t>）、机关事业单位养老保险缴费</w:t>
      </w:r>
      <w:r>
        <w:rPr>
          <w:rFonts w:hint="default" w:ascii="Times New Roman" w:hAnsi="Times New Roman" w:eastAsia="仿宋_GB2312" w:cs="Times New Roman"/>
          <w:sz w:val="32"/>
          <w:szCs w:val="32"/>
          <w:u w:val="single"/>
          <w:lang w:val="en-US" w:eastAsia="zh-CN"/>
        </w:rPr>
        <w:t>19.42万元</w:t>
      </w:r>
      <w:r>
        <w:rPr>
          <w:rFonts w:hint="default" w:ascii="Times New Roman" w:hAnsi="Times New Roman" w:eastAsia="仿宋_GB2312" w:cs="Times New Roman"/>
          <w:sz w:val="32"/>
          <w:szCs w:val="32"/>
        </w:rPr>
        <w:t>、城镇职工基本医疗保险缴费</w:t>
      </w:r>
      <w:r>
        <w:rPr>
          <w:rFonts w:hint="default" w:ascii="Times New Roman" w:hAnsi="Times New Roman" w:eastAsia="仿宋_GB2312" w:cs="Times New Roman"/>
          <w:sz w:val="32"/>
          <w:szCs w:val="32"/>
          <w:u w:val="single"/>
          <w:lang w:val="en-US" w:eastAsia="zh-CN"/>
        </w:rPr>
        <w:t>9.35万元</w:t>
      </w:r>
      <w:r>
        <w:rPr>
          <w:rFonts w:hint="default" w:ascii="Times New Roman" w:hAnsi="Times New Roman" w:eastAsia="仿宋_GB2312" w:cs="Times New Roman"/>
          <w:sz w:val="32"/>
          <w:szCs w:val="32"/>
        </w:rPr>
        <w:t>、公务员医疗补助</w:t>
      </w:r>
      <w:r>
        <w:rPr>
          <w:rFonts w:hint="default" w:ascii="Times New Roman" w:hAnsi="Times New Roman" w:eastAsia="仿宋_GB2312" w:cs="Times New Roman"/>
          <w:sz w:val="32"/>
          <w:szCs w:val="32"/>
          <w:u w:val="single"/>
          <w:lang w:val="en-US" w:eastAsia="zh-CN"/>
        </w:rPr>
        <w:t>3.64万元</w:t>
      </w:r>
      <w:r>
        <w:rPr>
          <w:rFonts w:hint="default" w:ascii="Times New Roman" w:hAnsi="Times New Roman" w:eastAsia="仿宋_GB2312" w:cs="Times New Roman"/>
          <w:sz w:val="32"/>
          <w:szCs w:val="32"/>
        </w:rPr>
        <w:t>、其他社会保险缴费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工伤保险）</w:t>
      </w:r>
      <w:r>
        <w:rPr>
          <w:rFonts w:hint="default" w:ascii="Times New Roman" w:hAnsi="Times New Roman" w:eastAsia="仿宋_GB2312" w:cs="Times New Roman"/>
          <w:sz w:val="32"/>
          <w:szCs w:val="32"/>
          <w:u w:val="single"/>
          <w:lang w:val="en-US" w:eastAsia="zh-CN"/>
        </w:rPr>
        <w:t>0.12万元</w:t>
      </w:r>
      <w:r>
        <w:rPr>
          <w:rFonts w:hint="default" w:ascii="Times New Roman" w:hAnsi="Times New Roman" w:eastAsia="仿宋_GB2312" w:cs="Times New Roman"/>
          <w:sz w:val="32"/>
          <w:szCs w:val="32"/>
        </w:rPr>
        <w:t>、其他工资福利支出</w:t>
      </w:r>
      <w:r>
        <w:rPr>
          <w:rFonts w:hint="default" w:ascii="Times New Roman" w:hAnsi="Times New Roman" w:eastAsia="仿宋_GB2312" w:cs="Times New Roman"/>
          <w:sz w:val="32"/>
          <w:szCs w:val="32"/>
          <w:u w:val="single"/>
          <w:lang w:val="en-US" w:eastAsia="zh-CN"/>
        </w:rPr>
        <w:t>7.41万元</w:t>
      </w:r>
      <w:r>
        <w:rPr>
          <w:rFonts w:hint="default" w:ascii="Times New Roman" w:hAnsi="Times New Roman" w:eastAsia="仿宋_GB2312" w:cs="Times New Roman"/>
          <w:sz w:val="32"/>
          <w:szCs w:val="32"/>
        </w:rPr>
        <w:t>、</w:t>
      </w:r>
      <w:bookmarkStart w:id="0" w:name="_GoBack"/>
      <w:bookmarkEnd w:id="0"/>
      <w:r>
        <w:rPr>
          <w:rFonts w:hint="default" w:ascii="Times New Roman" w:hAnsi="Times New Roman" w:eastAsia="仿宋_GB2312" w:cs="Times New Roman"/>
          <w:sz w:val="32"/>
          <w:szCs w:val="32"/>
        </w:rPr>
        <w:t>住房公积金</w:t>
      </w:r>
      <w:r>
        <w:rPr>
          <w:rFonts w:hint="default" w:ascii="Times New Roman" w:hAnsi="Times New Roman" w:eastAsia="仿宋_GB2312" w:cs="Times New Roman"/>
          <w:sz w:val="32"/>
          <w:szCs w:val="32"/>
          <w:u w:val="single"/>
          <w:lang w:val="en-US" w:eastAsia="zh-CN"/>
        </w:rPr>
        <w:t>14.57万元</w:t>
      </w:r>
      <w:r>
        <w:rPr>
          <w:rFonts w:hint="default" w:ascii="Times New Roman" w:hAnsi="Times New Roman" w:eastAsia="仿宋_GB2312" w:cs="Times New Roman"/>
          <w:sz w:val="32"/>
          <w:szCs w:val="32"/>
        </w:rPr>
        <w:t>、医疗费</w:t>
      </w:r>
      <w:r>
        <w:rPr>
          <w:rFonts w:hint="default" w:ascii="Times New Roman" w:hAnsi="Times New Roman" w:eastAsia="仿宋_GB2312" w:cs="Times New Roman"/>
          <w:sz w:val="32"/>
          <w:szCs w:val="32"/>
          <w:u w:val="single"/>
          <w:lang w:val="en-US" w:eastAsia="zh-CN"/>
        </w:rPr>
        <w:t>1.08万元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公用经费</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11.22</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万元，主要包括：商品和服务支出（办公费</w:t>
      </w:r>
      <w:r>
        <w:rPr>
          <w:rFonts w:hint="default" w:ascii="Times New Roman" w:hAnsi="Times New Roman" w:eastAsia="仿宋_GB2312" w:cs="Times New Roman"/>
          <w:sz w:val="32"/>
          <w:szCs w:val="32"/>
          <w:u w:val="single"/>
          <w:lang w:val="en-US" w:eastAsia="zh-CN"/>
        </w:rPr>
        <w:t>2.83万元</w:t>
      </w:r>
      <w:r>
        <w:rPr>
          <w:rFonts w:hint="default" w:ascii="Times New Roman" w:hAnsi="Times New Roman" w:eastAsia="仿宋_GB2312" w:cs="Times New Roman"/>
          <w:sz w:val="32"/>
          <w:szCs w:val="32"/>
        </w:rPr>
        <w:t>、印刷费</w:t>
      </w:r>
      <w:r>
        <w:rPr>
          <w:rFonts w:hint="default" w:ascii="Times New Roman" w:hAnsi="Times New Roman" w:eastAsia="仿宋_GB2312" w:cs="Times New Roman"/>
          <w:sz w:val="32"/>
          <w:szCs w:val="32"/>
          <w:u w:val="single"/>
          <w:lang w:val="en-US" w:eastAsia="zh-CN"/>
        </w:rPr>
        <w:t>0.15万元</w:t>
      </w:r>
      <w:r>
        <w:rPr>
          <w:rFonts w:hint="default" w:ascii="Times New Roman" w:hAnsi="Times New Roman" w:eastAsia="仿宋_GB2312" w:cs="Times New Roman"/>
          <w:sz w:val="32"/>
          <w:szCs w:val="32"/>
        </w:rPr>
        <w:t>、水费</w:t>
      </w:r>
      <w:r>
        <w:rPr>
          <w:rFonts w:hint="default" w:ascii="Times New Roman" w:hAnsi="Times New Roman" w:eastAsia="仿宋_GB2312" w:cs="Times New Roman"/>
          <w:sz w:val="32"/>
          <w:szCs w:val="32"/>
          <w:u w:val="single"/>
          <w:lang w:val="en-US" w:eastAsia="zh-CN"/>
        </w:rPr>
        <w:t>0.1万元</w:t>
      </w:r>
      <w:r>
        <w:rPr>
          <w:rFonts w:hint="default" w:ascii="Times New Roman" w:hAnsi="Times New Roman" w:eastAsia="仿宋_GB2312" w:cs="Times New Roman"/>
          <w:sz w:val="32"/>
          <w:szCs w:val="32"/>
        </w:rPr>
        <w:t>、电费</w:t>
      </w:r>
      <w:r>
        <w:rPr>
          <w:rFonts w:hint="default" w:ascii="Times New Roman" w:hAnsi="Times New Roman" w:eastAsia="仿宋_GB2312" w:cs="Times New Roman"/>
          <w:sz w:val="32"/>
          <w:szCs w:val="32"/>
          <w:u w:val="single"/>
          <w:lang w:val="en-US" w:eastAsia="zh-CN"/>
        </w:rPr>
        <w:t>2.5万元</w:t>
      </w:r>
      <w:r>
        <w:rPr>
          <w:rFonts w:hint="default" w:ascii="Times New Roman" w:hAnsi="Times New Roman" w:eastAsia="仿宋_GB2312" w:cs="Times New Roman"/>
          <w:sz w:val="32"/>
          <w:szCs w:val="32"/>
        </w:rPr>
        <w:t>、邮电费</w:t>
      </w:r>
      <w:r>
        <w:rPr>
          <w:rFonts w:hint="default" w:ascii="Times New Roman" w:hAnsi="Times New Roman" w:eastAsia="仿宋_GB2312" w:cs="Times New Roman"/>
          <w:sz w:val="32"/>
          <w:szCs w:val="32"/>
          <w:u w:val="single"/>
          <w:lang w:val="en-US" w:eastAsia="zh-CN"/>
        </w:rPr>
        <w:t>0.12万元</w:t>
      </w:r>
      <w:r>
        <w:rPr>
          <w:rFonts w:hint="default" w:ascii="Times New Roman" w:hAnsi="Times New Roman" w:eastAsia="仿宋_GB2312" w:cs="Times New Roman"/>
          <w:sz w:val="32"/>
          <w:szCs w:val="32"/>
        </w:rPr>
        <w:t>、取暖费</w:t>
      </w:r>
      <w:r>
        <w:rPr>
          <w:rFonts w:hint="default" w:ascii="Times New Roman" w:hAnsi="Times New Roman" w:eastAsia="仿宋_GB2312" w:cs="Times New Roman"/>
          <w:sz w:val="32"/>
          <w:szCs w:val="32"/>
          <w:u w:val="single"/>
          <w:lang w:val="en-US" w:eastAsia="zh-CN"/>
        </w:rPr>
        <w:t>0.2万元</w:t>
      </w:r>
      <w:r>
        <w:rPr>
          <w:rFonts w:hint="default" w:ascii="Times New Roman" w:hAnsi="Times New Roman" w:eastAsia="仿宋_GB2312" w:cs="Times New Roman"/>
          <w:sz w:val="32"/>
          <w:szCs w:val="32"/>
        </w:rPr>
        <w:t>、差旅费</w:t>
      </w:r>
      <w:r>
        <w:rPr>
          <w:rFonts w:hint="default" w:ascii="Times New Roman" w:hAnsi="Times New Roman" w:eastAsia="仿宋_GB2312" w:cs="Times New Roman"/>
          <w:sz w:val="32"/>
          <w:szCs w:val="32"/>
          <w:u w:val="single"/>
          <w:lang w:val="en-US" w:eastAsia="zh-CN"/>
        </w:rPr>
        <w:t>3万元</w:t>
      </w:r>
      <w:r>
        <w:rPr>
          <w:rFonts w:hint="default" w:ascii="Times New Roman" w:hAnsi="Times New Roman" w:eastAsia="仿宋_GB2312" w:cs="Times New Roman"/>
          <w:sz w:val="32"/>
          <w:szCs w:val="32"/>
        </w:rPr>
        <w:t>、维修(护)费）</w:t>
      </w:r>
      <w:r>
        <w:rPr>
          <w:rFonts w:hint="default" w:ascii="Times New Roman" w:hAnsi="Times New Roman" w:eastAsia="仿宋_GB2312" w:cs="Times New Roman"/>
          <w:sz w:val="32"/>
          <w:szCs w:val="32"/>
          <w:u w:val="single"/>
          <w:lang w:val="en-US" w:eastAsia="zh-CN"/>
        </w:rPr>
        <w:t>0.1万元</w:t>
      </w:r>
      <w:r>
        <w:rPr>
          <w:rFonts w:hint="default" w:ascii="Times New Roman" w:hAnsi="Times New Roman" w:eastAsia="仿宋_GB2312" w:cs="Times New Roman"/>
          <w:sz w:val="32"/>
          <w:szCs w:val="32"/>
        </w:rPr>
        <w:t>、工会经费</w:t>
      </w:r>
      <w:r>
        <w:rPr>
          <w:rFonts w:hint="default" w:ascii="Times New Roman" w:hAnsi="Times New Roman" w:eastAsia="仿宋_GB2312" w:cs="Times New Roman"/>
          <w:sz w:val="32"/>
          <w:szCs w:val="32"/>
          <w:u w:val="single"/>
          <w:lang w:val="en-US" w:eastAsia="zh-CN"/>
        </w:rPr>
        <w:t>2.22万元</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lang w:val="en-US" w:eastAsia="zh-CN"/>
        </w:rPr>
        <w:t xml:space="preserve">    </w:t>
      </w:r>
      <w:r>
        <w:rPr>
          <w:rFonts w:hint="default" w:ascii="Times New Roman" w:hAnsi="Times New Roman" w:eastAsia="楷体" w:cs="Times New Roman"/>
          <w:sz w:val="32"/>
          <w:szCs w:val="32"/>
        </w:rPr>
        <w:t>七、2024年度一般公共预算“三公”经费预算情况说明</w:t>
      </w:r>
    </w:p>
    <w:p>
      <w:pPr>
        <w:keepNext w:val="0"/>
        <w:keepLines w:val="0"/>
        <w:pageBreakBefore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keepNext w:val="0"/>
        <w:keepLines w:val="0"/>
        <w:pageBreakBefore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2024年“三公”经费预算数为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万元，其中：因公出国（境）费</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万元，公务用车购置及运行费</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万元，公务接待费</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万元。2024年“三公”经费预算比2023年减少（增加）</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万元，压缩（增长）</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因公出国（境）</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团组、</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人，公务用车购置</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辆、保有</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量，国内公务接待</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批次、</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eastAsia="zh-CN"/>
        </w:rPr>
        <w:t>主要原因：本部门无</w:t>
      </w:r>
      <w:r>
        <w:rPr>
          <w:rFonts w:hint="default" w:ascii="Times New Roman" w:hAnsi="Times New Roman" w:eastAsia="仿宋_GB2312" w:cs="Times New Roman"/>
          <w:sz w:val="32"/>
          <w:szCs w:val="32"/>
        </w:rPr>
        <w:t>“三公”经费预算</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lang w:val="en-US" w:eastAsia="zh-CN"/>
        </w:rPr>
        <w:t xml:space="preserve">    </w:t>
      </w:r>
      <w:r>
        <w:rPr>
          <w:rFonts w:hint="default" w:ascii="Times New Roman" w:hAnsi="Times New Roman" w:eastAsia="楷体" w:cs="Times New Roman"/>
          <w:sz w:val="32"/>
          <w:szCs w:val="32"/>
        </w:rPr>
        <w:t>八、2024年度政府性基金预算支出情况说明</w:t>
      </w:r>
    </w:p>
    <w:p>
      <w:pPr>
        <w:keepNext w:val="0"/>
        <w:keepLines w:val="0"/>
        <w:pageBreakBefore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2024年政府性基金预算当年拨款</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u w:val="single"/>
          <w:lang w:val="en-US" w:eastAsia="zh-CN"/>
        </w:rPr>
        <w:t>0</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sz w:val="32"/>
          <w:szCs w:val="32"/>
        </w:rPr>
        <w:t>万元,比2023年执行数减少</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u w:val="single"/>
          <w:lang w:val="en-US" w:eastAsia="zh-CN"/>
        </w:rPr>
        <w:t>0</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。主要原因：本部门</w:t>
      </w:r>
      <w:r>
        <w:rPr>
          <w:rFonts w:hint="default" w:ascii="Times New Roman" w:hAnsi="Times New Roman" w:eastAsia="仿宋_GB2312" w:cs="Times New Roman"/>
          <w:sz w:val="32"/>
          <w:szCs w:val="32"/>
        </w:rPr>
        <w:t>2024</w:t>
      </w:r>
      <w:r>
        <w:rPr>
          <w:rFonts w:hint="default" w:ascii="Times New Roman" w:hAnsi="Times New Roman" w:eastAsia="仿宋_GB2312" w:cs="Times New Roman"/>
          <w:sz w:val="32"/>
          <w:szCs w:val="32"/>
          <w:lang w:eastAsia="zh-CN"/>
        </w:rPr>
        <w:t>年度没有使用</w:t>
      </w:r>
      <w:r>
        <w:rPr>
          <w:rFonts w:hint="default" w:ascii="Times New Roman" w:hAnsi="Times New Roman" w:eastAsia="仿宋_GB2312" w:cs="Times New Roman"/>
          <w:sz w:val="32"/>
          <w:szCs w:val="32"/>
        </w:rPr>
        <w:t>政府性基金</w:t>
      </w:r>
      <w:r>
        <w:rPr>
          <w:rFonts w:hint="default" w:ascii="Times New Roman" w:hAnsi="Times New Roman" w:eastAsia="仿宋_GB2312" w:cs="Times New Roman"/>
          <w:sz w:val="32"/>
          <w:szCs w:val="32"/>
          <w:lang w:eastAsia="zh-CN"/>
        </w:rPr>
        <w:t>支出安排。</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lang w:val="en-US" w:eastAsia="zh-CN"/>
        </w:rPr>
        <w:t xml:space="preserve">    </w:t>
      </w:r>
      <w:r>
        <w:rPr>
          <w:rFonts w:hint="default" w:ascii="Times New Roman" w:hAnsi="Times New Roman" w:eastAsia="楷体" w:cs="Times New Roman"/>
          <w:sz w:val="32"/>
          <w:szCs w:val="32"/>
        </w:rPr>
        <w:t>九、其他重要事项的情况说明</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    </w:t>
      </w:r>
      <w:r>
        <w:rPr>
          <w:rFonts w:hint="default" w:ascii="Times New Roman" w:hAnsi="Times New Roman" w:eastAsia="仿宋_GB2312" w:cs="Times New Roman"/>
          <w:b/>
          <w:bCs/>
          <w:sz w:val="32"/>
          <w:szCs w:val="32"/>
        </w:rPr>
        <w:t>（一）机关运行经费安排使用情况说明。</w:t>
      </w:r>
    </w:p>
    <w:p>
      <w:pPr>
        <w:keepNext w:val="0"/>
        <w:keepLines w:val="0"/>
        <w:pageBreakBefore w:val="0"/>
        <w:kinsoku/>
        <w:wordWrap/>
        <w:overflowPunct/>
        <w:topLinePunct w:val="0"/>
        <w:autoSpaceDE w:val="0"/>
        <w:autoSpaceDN w:val="0"/>
        <w:bidi w:val="0"/>
        <w:adjustRightInd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2024年部门本级</w:t>
      </w:r>
      <w:r>
        <w:rPr>
          <w:rFonts w:hint="default" w:ascii="Times New Roman" w:hAnsi="Times New Roman" w:eastAsia="仿宋_GB2312" w:cs="Times New Roman"/>
          <w:sz w:val="32"/>
          <w:szCs w:val="32"/>
          <w:lang w:eastAsia="zh-CN"/>
        </w:rPr>
        <w:t>审计局</w:t>
      </w:r>
      <w:r>
        <w:rPr>
          <w:rFonts w:hint="default" w:ascii="Times New Roman" w:hAnsi="Times New Roman" w:eastAsia="仿宋_GB2312" w:cs="Times New Roman"/>
          <w:kern w:val="0"/>
          <w:sz w:val="32"/>
          <w:szCs w:val="32"/>
          <w:u w:val="single"/>
          <w:lang w:val="en-US" w:eastAsia="zh-CN"/>
        </w:rPr>
        <w:t>1</w:t>
      </w:r>
      <w:r>
        <w:rPr>
          <w:rFonts w:hint="default" w:ascii="Times New Roman" w:hAnsi="Times New Roman" w:eastAsia="仿宋_GB2312" w:cs="Times New Roman"/>
          <w:sz w:val="32"/>
          <w:szCs w:val="32"/>
        </w:rPr>
        <w:t>家行政单位的机关运行经费财政拨款预算</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u w:val="single"/>
          <w:lang w:val="en-US" w:eastAsia="zh-CN"/>
        </w:rPr>
        <w:t>11.22</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sz w:val="32"/>
          <w:szCs w:val="32"/>
        </w:rPr>
        <w:t>万元，比2023年预算增加</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u w:val="single"/>
          <w:lang w:val="en-US" w:eastAsia="zh-CN"/>
        </w:rPr>
        <w:t>1.18</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u w:val="single"/>
          <w:lang w:val="en-US" w:eastAsia="zh-CN"/>
        </w:rPr>
        <w:t>11.75</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rPr>
        <w:t xml:space="preserve"> </w:t>
      </w:r>
      <w:r>
        <w:rPr>
          <w:rFonts w:hint="default" w:ascii="Times New Roman" w:hAnsi="Times New Roman" w:eastAsia="仿宋_GB2312" w:cs="Times New Roman"/>
          <w:sz w:val="32"/>
          <w:szCs w:val="32"/>
        </w:rPr>
        <w:t>%。主要是</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u w:val="single"/>
          <w:lang w:eastAsia="zh-CN"/>
        </w:rPr>
        <w:t>人员增加</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rPr>
        <w:t xml:space="preserve"> 。</w:t>
      </w:r>
    </w:p>
    <w:p>
      <w:pPr>
        <w:keepNext w:val="0"/>
        <w:keepLines w:val="0"/>
        <w:pageBreakBefore w:val="0"/>
        <w:kinsoku/>
        <w:wordWrap/>
        <w:overflowPunct/>
        <w:topLinePunct w:val="0"/>
        <w:autoSpaceDE w:val="0"/>
        <w:autoSpaceDN w:val="0"/>
        <w:bidi w:val="0"/>
        <w:adjustRightInd w:val="0"/>
        <w:snapToGrid/>
        <w:spacing w:line="576"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（二）政府采购情况说明。</w:t>
      </w:r>
    </w:p>
    <w:p>
      <w:pPr>
        <w:keepNext w:val="0"/>
        <w:keepLines w:val="0"/>
        <w:pageBreakBefore w:val="0"/>
        <w:kinsoku/>
        <w:wordWrap/>
        <w:overflowPunct/>
        <w:topLinePunct w:val="0"/>
        <w:autoSpaceDE w:val="0"/>
        <w:autoSpaceDN w:val="0"/>
        <w:bidi w:val="0"/>
        <w:adjustRightInd w:val="0"/>
        <w:snapToGrid/>
        <w:spacing w:line="576"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本部门2024年</w:t>
      </w:r>
      <w:r>
        <w:rPr>
          <w:rFonts w:hint="default" w:ascii="Times New Roman" w:hAnsi="Times New Roman" w:eastAsia="仿宋_GB2312" w:cs="Times New Roman"/>
          <w:sz w:val="32"/>
          <w:szCs w:val="32"/>
          <w:lang w:eastAsia="zh-CN"/>
        </w:rPr>
        <w:t>无</w:t>
      </w:r>
      <w:r>
        <w:rPr>
          <w:rFonts w:hint="default" w:ascii="Times New Roman" w:hAnsi="Times New Roman" w:eastAsia="仿宋_GB2312" w:cs="Times New Roman"/>
          <w:sz w:val="32"/>
          <w:szCs w:val="32"/>
        </w:rPr>
        <w:t>政府采购预算。</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rPr>
        <w:t>（三）国有资产占有使用情况说明。</w:t>
      </w:r>
    </w:p>
    <w:p>
      <w:pPr>
        <w:keepNext w:val="0"/>
        <w:keepLines w:val="0"/>
        <w:pageBreakBefore w:val="0"/>
        <w:kinsoku/>
        <w:wordWrap/>
        <w:overflowPunct/>
        <w:topLinePunct w:val="0"/>
        <w:autoSpaceDE w:val="0"/>
        <w:autoSpaceDN w:val="0"/>
        <w:bidi w:val="0"/>
        <w:adjustRightInd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截至2024年</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u w:val="single"/>
          <w:lang w:val="en-US" w:eastAsia="zh-CN"/>
        </w:rPr>
        <w:t>2</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sz w:val="32"/>
          <w:szCs w:val="32"/>
        </w:rPr>
        <w:t>月底，本部门及所属各预算单位共有车辆</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u w:val="single"/>
          <w:lang w:val="en-US" w:eastAsia="zh-CN"/>
        </w:rPr>
        <w:t>0</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sz w:val="32"/>
          <w:szCs w:val="32"/>
        </w:rPr>
        <w:t>辆，单位价值50万元以上通用设备</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u w:val="single"/>
          <w:lang w:val="en-US" w:eastAsia="zh-CN"/>
        </w:rPr>
        <w:t>0</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sz w:val="32"/>
          <w:szCs w:val="32"/>
        </w:rPr>
        <w:t>台（套），单位价值100万元以上专用设备</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u w:val="single"/>
          <w:lang w:val="en-US" w:eastAsia="zh-CN"/>
        </w:rPr>
        <w:t>0</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sz w:val="32"/>
          <w:szCs w:val="32"/>
        </w:rPr>
        <w:t>台（套）。</w:t>
      </w:r>
    </w:p>
    <w:p>
      <w:pPr>
        <w:keepNext w:val="0"/>
        <w:keepLines w:val="0"/>
        <w:pageBreakBefore w:val="0"/>
        <w:kinsoku/>
        <w:wordWrap/>
        <w:overflowPunct/>
        <w:topLinePunct w:val="0"/>
        <w:bidi w:val="0"/>
        <w:snapToGrid/>
        <w:spacing w:line="576"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（四）2024年预算绩效目标管理情况。</w:t>
      </w:r>
    </w:p>
    <w:p>
      <w:pPr>
        <w:keepNext w:val="0"/>
        <w:keepLines w:val="0"/>
        <w:pageBreakBefore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2024年实现财政支出绩效目标管理全覆盖，实行绩效目标管理</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u w:val="single"/>
          <w:lang w:val="en-US" w:eastAsia="zh-CN"/>
        </w:rPr>
        <w:t>13</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sz w:val="32"/>
          <w:szCs w:val="32"/>
        </w:rPr>
        <w:t>个，资金</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u w:val="single"/>
          <w:lang w:val="en-US" w:eastAsia="zh-CN"/>
        </w:rPr>
        <w:t>188.18</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sz w:val="32"/>
          <w:szCs w:val="32"/>
        </w:rPr>
        <w:t>万元，其中：</w:t>
      </w:r>
      <w:r>
        <w:rPr>
          <w:rFonts w:hint="default" w:ascii="Times New Roman" w:hAnsi="Times New Roman" w:eastAsia="仿宋_GB2312" w:cs="Times New Roman"/>
          <w:sz w:val="32"/>
          <w:szCs w:val="32"/>
          <w:lang w:eastAsia="zh-CN"/>
        </w:rPr>
        <w:t>财政</w:t>
      </w:r>
      <w:r>
        <w:rPr>
          <w:rFonts w:hint="default" w:ascii="Times New Roman" w:hAnsi="Times New Roman" w:eastAsia="仿宋_GB2312" w:cs="Times New Roman"/>
          <w:sz w:val="32"/>
          <w:szCs w:val="32"/>
        </w:rPr>
        <w:t>转移支付资金</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u w:val="single"/>
          <w:lang w:val="en-US" w:eastAsia="zh-CN"/>
        </w:rPr>
        <w:t>188.18</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val="en-US" w:eastAsia="zh-CN"/>
        </w:rPr>
        <w:t>2024年本部门无重点项目。</w:t>
      </w:r>
    </w:p>
    <w:p>
      <w:pPr>
        <w:keepNext w:val="0"/>
        <w:keepLines w:val="0"/>
        <w:pageBreakBefore w:val="0"/>
        <w:kinsoku/>
        <w:wordWrap/>
        <w:overflowPunct/>
        <w:topLinePunct w:val="0"/>
        <w:bidi w:val="0"/>
        <w:snapToGrid/>
        <w:spacing w:line="576"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附重点项目绩效目标表（涉密项目除外）。”</w:t>
      </w:r>
    </w:p>
    <w:p>
      <w:pPr>
        <w:keepNext w:val="0"/>
        <w:keepLines w:val="0"/>
        <w:pageBreakBefore w:val="0"/>
        <w:numPr>
          <w:ilvl w:val="0"/>
          <w:numId w:val="1"/>
        </w:numPr>
        <w:kinsoku/>
        <w:wordWrap/>
        <w:overflowPunct/>
        <w:topLinePunct w:val="0"/>
        <w:bidi w:val="0"/>
        <w:snapToGrid/>
        <w:spacing w:line="576" w:lineRule="exact"/>
        <w:ind w:left="640" w:leftChars="0" w:firstLine="0" w:firstLineChars="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乡村振兴衔接资金管理使用情况及绩效目标情况说明。</w:t>
      </w:r>
    </w:p>
    <w:p>
      <w:pPr>
        <w:keepNext w:val="0"/>
        <w:keepLines w:val="0"/>
        <w:pageBreakBefore w:val="0"/>
        <w:numPr>
          <w:ilvl w:val="0"/>
          <w:numId w:val="0"/>
        </w:numPr>
        <w:kinsoku/>
        <w:wordWrap/>
        <w:overflowPunct/>
        <w:topLinePunct w:val="0"/>
        <w:bidi w:val="0"/>
        <w:snapToGrid/>
        <w:spacing w:line="576" w:lineRule="exact"/>
        <w:ind w:left="640" w:leftChars="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本部门</w:t>
      </w:r>
      <w:r>
        <w:rPr>
          <w:rFonts w:hint="default" w:ascii="Times New Roman" w:hAnsi="Times New Roman" w:eastAsia="仿宋_GB2312" w:cs="Times New Roman"/>
          <w:sz w:val="32"/>
          <w:szCs w:val="32"/>
          <w:lang w:val="en-US" w:eastAsia="zh-CN"/>
        </w:rPr>
        <w:t>2024年无</w:t>
      </w:r>
      <w:r>
        <w:rPr>
          <w:rFonts w:hint="default" w:ascii="Times New Roman" w:hAnsi="Times New Roman" w:eastAsia="仿宋_GB2312" w:cs="Times New Roman"/>
          <w:sz w:val="32"/>
          <w:szCs w:val="32"/>
          <w:lang w:eastAsia="zh-CN"/>
        </w:rPr>
        <w:t>乡村振兴衔接资金预算。</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rPr>
        <w:t>（六）政府债务情况。</w:t>
      </w:r>
    </w:p>
    <w:p>
      <w:pPr>
        <w:keepNext w:val="0"/>
        <w:keepLines w:val="0"/>
        <w:pageBreakBefore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本部门截止目前无政府债务。</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rPr>
          <w:rFonts w:hint="default"/>
        </w:rPr>
      </w:pPr>
    </w:p>
    <w:p>
      <w:pPr>
        <w:pStyle w:val="2"/>
        <w:rPr>
          <w:rFonts w:hint="default"/>
        </w:rPr>
      </w:pPr>
    </w:p>
    <w:p>
      <w:pPr>
        <w:keepNext w:val="0"/>
        <w:keepLines w:val="0"/>
        <w:pageBreakBefore w:val="0"/>
        <w:tabs>
          <w:tab w:val="left" w:pos="3307"/>
          <w:tab w:val="center" w:pos="4213"/>
        </w:tabs>
        <w:kinsoku/>
        <w:wordWrap/>
        <w:overflowPunct/>
        <w:topLinePunct w:val="0"/>
        <w:bidi w:val="0"/>
        <w:snapToGrid/>
        <w:spacing w:line="576" w:lineRule="exact"/>
        <w:jc w:val="left"/>
        <w:textAlignment w:val="auto"/>
        <w:rPr>
          <w:rFonts w:hint="default" w:ascii="Times New Roman" w:hAnsi="Times New Roman" w:eastAsia="方正小标宋简体" w:cs="Times New Roman"/>
          <w:sz w:val="32"/>
          <w:szCs w:val="32"/>
          <w:lang w:eastAsia="zh-CN"/>
        </w:rPr>
      </w:pPr>
    </w:p>
    <w:p>
      <w:pPr>
        <w:keepNext w:val="0"/>
        <w:keepLines w:val="0"/>
        <w:pageBreakBefore w:val="0"/>
        <w:tabs>
          <w:tab w:val="left" w:pos="3307"/>
          <w:tab w:val="center" w:pos="4213"/>
        </w:tabs>
        <w:kinsoku/>
        <w:wordWrap/>
        <w:overflowPunct/>
        <w:topLinePunct w:val="0"/>
        <w:bidi w:val="0"/>
        <w:snapToGrid/>
        <w:spacing w:line="576" w:lineRule="exact"/>
        <w:ind w:firstLine="3520" w:firstLineChars="11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第四部分</w:t>
      </w: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bidi w:val="0"/>
        <w:snapToGrid/>
        <w:spacing w:line="576"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名词解释</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    </w:t>
      </w:r>
      <w:r>
        <w:rPr>
          <w:rFonts w:hint="default" w:ascii="Times New Roman" w:hAnsi="Times New Roman" w:eastAsia="楷体" w:cs="Times New Roman"/>
          <w:sz w:val="32"/>
          <w:szCs w:val="32"/>
        </w:rPr>
        <w:t>一、一般公共预算拨款收入：</w:t>
      </w:r>
      <w:r>
        <w:rPr>
          <w:rFonts w:hint="default" w:ascii="Times New Roman" w:hAnsi="Times New Roman" w:eastAsia="仿宋_GB2312" w:cs="Times New Roman"/>
          <w:sz w:val="32"/>
          <w:szCs w:val="32"/>
        </w:rPr>
        <w:t>指财政部门当年拨付的资金。</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lang w:val="en-US" w:eastAsia="zh-CN"/>
        </w:rPr>
        <w:t xml:space="preserve">    </w:t>
      </w:r>
      <w:r>
        <w:rPr>
          <w:rFonts w:hint="default" w:ascii="Times New Roman" w:hAnsi="Times New Roman" w:eastAsia="楷体" w:cs="Times New Roman"/>
          <w:sz w:val="32"/>
          <w:szCs w:val="32"/>
        </w:rPr>
        <w:t>二、事业收入：</w:t>
      </w:r>
      <w:r>
        <w:rPr>
          <w:rFonts w:hint="default" w:ascii="Times New Roman" w:hAnsi="Times New Roman" w:eastAsia="仿宋_GB2312" w:cs="Times New Roman"/>
          <w:sz w:val="32"/>
          <w:szCs w:val="32"/>
        </w:rPr>
        <w:t>指事业单位开展专业业务活动及辅助活动所取得的收入。</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楷体" w:cs="Times New Roman"/>
          <w:sz w:val="32"/>
          <w:szCs w:val="32"/>
        </w:rPr>
        <w:t>三、事业单位经营收入：</w:t>
      </w:r>
      <w:r>
        <w:rPr>
          <w:rFonts w:hint="default" w:ascii="Times New Roman" w:hAnsi="Times New Roman" w:eastAsia="仿宋_GB2312" w:cs="Times New Roman"/>
          <w:sz w:val="32"/>
          <w:szCs w:val="32"/>
        </w:rPr>
        <w:t>指事业单位在专业业务活动及其辅助活动之外开展非独立核算经营活动取得的收入。</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楷体" w:cs="Times New Roman"/>
          <w:sz w:val="32"/>
          <w:szCs w:val="32"/>
        </w:rPr>
        <w:t>四、机关运行经费：</w:t>
      </w:r>
      <w:r>
        <w:rPr>
          <w:rFonts w:hint="default" w:ascii="Times New Roman" w:hAnsi="Times New Roman" w:eastAsia="仿宋_GB2312" w:cs="Times New Roman"/>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楷体" w:cs="Times New Roman"/>
          <w:sz w:val="32"/>
          <w:szCs w:val="32"/>
          <w:lang w:val="en-US" w:eastAsia="zh-CN"/>
        </w:rPr>
        <w:t xml:space="preserve"> </w:t>
      </w:r>
      <w:r>
        <w:rPr>
          <w:rFonts w:hint="default" w:ascii="Times New Roman" w:hAnsi="Times New Roman" w:eastAsia="楷体" w:cs="Times New Roman"/>
          <w:sz w:val="32"/>
          <w:szCs w:val="32"/>
        </w:rPr>
        <w:t>五、其他收入：</w:t>
      </w:r>
      <w:r>
        <w:rPr>
          <w:rFonts w:hint="default" w:ascii="Times New Roman" w:hAnsi="Times New Roman" w:eastAsia="仿宋_GB2312" w:cs="Times New Roman"/>
          <w:sz w:val="32"/>
          <w:szCs w:val="32"/>
        </w:rPr>
        <w:t>指除上述“一般公共预算拨款收入”、“事业收入”、“事业单位经营收入”等以外的收入。主要是按规定动用的售房收入、存款利息收入等。</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楷体" w:cs="Times New Roman"/>
          <w:sz w:val="32"/>
          <w:szCs w:val="32"/>
        </w:rPr>
        <w:t>六、上年结转：</w:t>
      </w:r>
      <w:r>
        <w:rPr>
          <w:rFonts w:hint="default" w:ascii="Times New Roman" w:hAnsi="Times New Roman" w:eastAsia="仿宋_GB2312" w:cs="Times New Roman"/>
          <w:sz w:val="32"/>
          <w:szCs w:val="32"/>
        </w:rPr>
        <w:t>指以前年度安排、结转到本年仍按原规定用途继续使用的资金。</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楷体" w:cs="Times New Roman"/>
          <w:sz w:val="32"/>
          <w:szCs w:val="32"/>
        </w:rPr>
        <w:t>七、重点项目：</w:t>
      </w:r>
      <w:r>
        <w:rPr>
          <w:rFonts w:hint="default" w:ascii="Times New Roman" w:hAnsi="Times New Roman" w:eastAsia="仿宋_GB2312" w:cs="Times New Roman"/>
          <w:sz w:val="32"/>
          <w:szCs w:val="32"/>
        </w:rPr>
        <w:t>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keepNext w:val="0"/>
        <w:keepLines w:val="0"/>
        <w:pageBreakBefore w:val="0"/>
        <w:kinsoku/>
        <w:wordWrap/>
        <w:overflowPunct/>
        <w:topLinePunct w:val="0"/>
        <w:autoSpaceDE w:val="0"/>
        <w:autoSpaceDN w:val="0"/>
        <w:bidi w:val="0"/>
        <w:adjustRightInd w:val="0"/>
        <w:snapToGrid/>
        <w:spacing w:line="576" w:lineRule="exact"/>
        <w:jc w:val="left"/>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楷体" w:cs="Times New Roman"/>
          <w:sz w:val="32"/>
          <w:szCs w:val="32"/>
        </w:rPr>
        <w:t>八、基本支出：</w:t>
      </w:r>
      <w:r>
        <w:rPr>
          <w:rFonts w:hint="default" w:ascii="Times New Roman" w:hAnsi="Times New Roman" w:eastAsia="仿宋_GB2312" w:cs="Times New Roman"/>
          <w:sz w:val="32"/>
          <w:szCs w:val="32"/>
        </w:rPr>
        <w:t>指为保障机构正常运转、完成日常工作任务而发生的人员支出和公用支出。</w:t>
      </w:r>
    </w:p>
    <w:p>
      <w:pPr>
        <w:keepNext w:val="0"/>
        <w:keepLines w:val="0"/>
        <w:pageBreakBefore w:val="0"/>
        <w:kinsoku/>
        <w:wordWrap/>
        <w:overflowPunct/>
        <w:topLinePunct w:val="0"/>
        <w:autoSpaceDE w:val="0"/>
        <w:autoSpaceDN w:val="0"/>
        <w:bidi w:val="0"/>
        <w:adjustRightInd w:val="0"/>
        <w:snapToGrid/>
        <w:spacing w:line="576" w:lineRule="exact"/>
        <w:jc w:val="left"/>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楷体" w:cs="Times New Roman"/>
          <w:sz w:val="32"/>
          <w:szCs w:val="32"/>
        </w:rPr>
        <w:t>九、项目支出：</w:t>
      </w:r>
      <w:r>
        <w:rPr>
          <w:rFonts w:hint="default" w:ascii="Times New Roman" w:hAnsi="Times New Roman" w:eastAsia="仿宋_GB2312" w:cs="Times New Roman"/>
          <w:sz w:val="32"/>
          <w:szCs w:val="32"/>
        </w:rPr>
        <w:t>指在基本支出之外为完成特定行政任务或事业发展目标所发生的支出。</w:t>
      </w:r>
    </w:p>
    <w:p>
      <w:pPr>
        <w:keepNext w:val="0"/>
        <w:keepLines w:val="0"/>
        <w:pageBreakBefore w:val="0"/>
        <w:kinsoku/>
        <w:wordWrap/>
        <w:overflowPunct/>
        <w:topLinePunct w:val="0"/>
        <w:autoSpaceDE w:val="0"/>
        <w:autoSpaceDN w:val="0"/>
        <w:bidi w:val="0"/>
        <w:adjustRightInd w:val="0"/>
        <w:snapToGrid/>
        <w:spacing w:line="576" w:lineRule="exact"/>
        <w:jc w:val="left"/>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楷体" w:cs="Times New Roman"/>
          <w:sz w:val="32"/>
          <w:szCs w:val="32"/>
        </w:rPr>
        <w:t>十、事业单位经营支出：</w:t>
      </w:r>
      <w:r>
        <w:rPr>
          <w:rFonts w:hint="default" w:ascii="Times New Roman" w:hAnsi="Times New Roman" w:eastAsia="仿宋_GB2312" w:cs="Times New Roman"/>
          <w:sz w:val="32"/>
          <w:szCs w:val="32"/>
        </w:rPr>
        <w:t>指事业单位在专业业务活动及其辅助活动之外开展非独立核算经营活动发生的支出。</w:t>
      </w:r>
    </w:p>
    <w:p>
      <w:pPr>
        <w:keepNext w:val="0"/>
        <w:keepLines w:val="0"/>
        <w:pageBreakBefore w:val="0"/>
        <w:kinsoku/>
        <w:wordWrap/>
        <w:overflowPunct/>
        <w:topLinePunct w:val="0"/>
        <w:bidi w:val="0"/>
        <w:snapToGrid/>
        <w:spacing w:line="576"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sz w:val="24"/>
        <w:szCs w:val="24"/>
      </w:rPr>
    </w:pPr>
    <w:r>
      <w:rPr>
        <w:rStyle w:val="10"/>
        <w:sz w:val="24"/>
        <w:szCs w:val="24"/>
      </w:rPr>
      <w:fldChar w:fldCharType="begin"/>
    </w:r>
    <w:r>
      <w:rPr>
        <w:rStyle w:val="10"/>
        <w:sz w:val="24"/>
        <w:szCs w:val="24"/>
      </w:rPr>
      <w:instrText xml:space="preserve">PAGE  </w:instrText>
    </w:r>
    <w:r>
      <w:rPr>
        <w:rStyle w:val="10"/>
        <w:sz w:val="24"/>
        <w:szCs w:val="24"/>
      </w:rPr>
      <w:fldChar w:fldCharType="separate"/>
    </w:r>
    <w:r>
      <w:rPr>
        <w:rStyle w:val="10"/>
        <w:sz w:val="24"/>
        <w:szCs w:val="24"/>
      </w:rPr>
      <w:t>6</w:t>
    </w:r>
    <w:r>
      <w:rPr>
        <w:rStyle w:val="10"/>
        <w:sz w:val="24"/>
        <w:szCs w:val="24"/>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5E8CB9"/>
    <w:multiLevelType w:val="singleLevel"/>
    <w:tmpl w:val="FF5E8CB9"/>
    <w:lvl w:ilvl="0" w:tentative="0">
      <w:start w:val="5"/>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N2I3NzJjMGJmMmZjZmQ2MTdjOTI2NzdmNzZkZDAifQ=="/>
  </w:docVars>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9137D"/>
    <w:rsid w:val="001A47B8"/>
    <w:rsid w:val="001A6CD9"/>
    <w:rsid w:val="001B4F21"/>
    <w:rsid w:val="001E25E8"/>
    <w:rsid w:val="001E413D"/>
    <w:rsid w:val="001F5E8D"/>
    <w:rsid w:val="00211391"/>
    <w:rsid w:val="00213708"/>
    <w:rsid w:val="0021667B"/>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35AC1"/>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56851"/>
    <w:rsid w:val="0056413E"/>
    <w:rsid w:val="00570F81"/>
    <w:rsid w:val="00571F98"/>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B314B"/>
    <w:rsid w:val="007C5A03"/>
    <w:rsid w:val="008001B3"/>
    <w:rsid w:val="0080401E"/>
    <w:rsid w:val="00813A99"/>
    <w:rsid w:val="008314A5"/>
    <w:rsid w:val="00835E1D"/>
    <w:rsid w:val="008468ED"/>
    <w:rsid w:val="0085478E"/>
    <w:rsid w:val="0086465E"/>
    <w:rsid w:val="00871235"/>
    <w:rsid w:val="00875CA7"/>
    <w:rsid w:val="008770A2"/>
    <w:rsid w:val="00884A86"/>
    <w:rsid w:val="00885072"/>
    <w:rsid w:val="00890723"/>
    <w:rsid w:val="0089630C"/>
    <w:rsid w:val="008A6719"/>
    <w:rsid w:val="008C1F95"/>
    <w:rsid w:val="008C5D03"/>
    <w:rsid w:val="008D39A8"/>
    <w:rsid w:val="008E490F"/>
    <w:rsid w:val="008F37FF"/>
    <w:rsid w:val="008F5CAA"/>
    <w:rsid w:val="0095324A"/>
    <w:rsid w:val="00953C23"/>
    <w:rsid w:val="0096127B"/>
    <w:rsid w:val="00993FFC"/>
    <w:rsid w:val="009B2113"/>
    <w:rsid w:val="009D0EC6"/>
    <w:rsid w:val="009D330A"/>
    <w:rsid w:val="009D58A7"/>
    <w:rsid w:val="009E0BCE"/>
    <w:rsid w:val="00A04FAE"/>
    <w:rsid w:val="00A239B3"/>
    <w:rsid w:val="00A25D6E"/>
    <w:rsid w:val="00A262A5"/>
    <w:rsid w:val="00A3432E"/>
    <w:rsid w:val="00A42EB8"/>
    <w:rsid w:val="00A53E77"/>
    <w:rsid w:val="00A615F1"/>
    <w:rsid w:val="00A81865"/>
    <w:rsid w:val="00A825B5"/>
    <w:rsid w:val="00A83879"/>
    <w:rsid w:val="00A947F8"/>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B301D"/>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0FF007D"/>
    <w:rsid w:val="0CC40481"/>
    <w:rsid w:val="3FF75853"/>
    <w:rsid w:val="44A21AEB"/>
    <w:rsid w:val="44C276D9"/>
    <w:rsid w:val="510C422D"/>
    <w:rsid w:val="5828380C"/>
    <w:rsid w:val="64C1791B"/>
    <w:rsid w:val="72CD042F"/>
    <w:rsid w:val="775F7D61"/>
    <w:rsid w:val="7FAF06FB"/>
    <w:rsid w:val="FEDB8456"/>
    <w:rsid w:val="FFF4F4AD"/>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pPr>
  </w:style>
  <w:style w:type="paragraph" w:styleId="3">
    <w:name w:val="Body Text Indent"/>
    <w:basedOn w:val="1"/>
    <w:unhideWhenUsed/>
    <w:qFormat/>
    <w:uiPriority w:val="99"/>
    <w:pPr>
      <w:ind w:firstLine="640" w:firstLineChars="200"/>
    </w:pPr>
    <w:rPr>
      <w:rFonts w:ascii="FangSong_GB2312" w:eastAsia="FangSong_GB2312"/>
      <w:sz w:val="32"/>
    </w:r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0">
    <w:name w:val="page number"/>
    <w:basedOn w:val="9"/>
    <w:qFormat/>
    <w:uiPriority w:val="0"/>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批注框文本 Char"/>
    <w:basedOn w:val="9"/>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13</Pages>
  <Words>3713</Words>
  <Characters>4128</Characters>
  <Lines>28</Lines>
  <Paragraphs>7</Paragraphs>
  <TotalTime>5</TotalTime>
  <ScaleCrop>false</ScaleCrop>
  <LinksUpToDate>false</LinksUpToDate>
  <CharactersWithSpaces>4399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2024-02-22T20:10:00Z</dcterms:created>
  <dc:creator>CN=预算处/OU=预算处/OU=西藏自治区财政厅/O=TIBET</dc:creator>
  <cp:lastModifiedBy>Administrator</cp:lastModifiedBy>
  <cp:lastPrinted>2024-02-24T01:53:00Z</cp:lastPrinted>
  <dcterms:modified xsi:type="dcterms:W3CDTF">2024-02-29T16:46:12Z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2E44DA74401E4118A7519668FE7640BE_12</vt:lpwstr>
  </property>
</Properties>
</file>